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62C47"/>
            <w:tcMar>
              <w:top w:w="360" w:type="dxa"/>
              <w:left w:w="340" w:type="dxa"/>
              <w:bottom w:w="360" w:type="dxa"/>
              <w:right w:w="340" w:type="dxa"/>
            </w:tcMar>
          </w:tcPr>
          <w:p>
            <w:pPr>
              <w:spacing w:after="60"/>
            </w:pPr>
            <w:r>
              <w:rPr>
                <w:b/>
                <w:bCs/>
                <w:color w:val="FFFFFF"/>
                <w:spacing w:val="60"/>
                <w:sz w:val="16"/>
                <w:szCs w:val="16"/>
              </w:rPr>
              <w:t>VERGELIJKER UITVAART</w:t>
            </w:r>
          </w:p>
          <w:p>
            <w:pPr>
              <w:spacing w:after="40"/>
            </w:pPr>
            <w:r>
              <w:rPr>
                <w:b/>
                <w:bCs/>
                <w:color w:val="FFFFFF"/>
                <w:sz w:val="48"/>
                <w:szCs w:val="48"/>
              </w:rPr>
              <w:t>Checklist bij een overlijden</w:t>
            </w:r>
          </w:p>
          <w:p>
            <w:pPr>
              <w:spacing w:after="0"/>
            </w:pPr>
            <w:r>
              <w:rPr>
                <w:color w:val="C9D9EA"/>
                <w:sz w:val="20"/>
                <w:szCs w:val="20"/>
              </w:rPr>
              <w:t xml:space="preserve">De eerste stappen, in de juiste volgorde</w:t>
            </w:r>
          </w:p>
        </w:tc>
      </w:tr>
    </w:tbl>
    <w:p>
      <w:pPr>
        <w:spacing w:after="240"/>
      </w:pPr>
    </w:p>
    <w:tbl>
      <w:tblPr>
        <w:tblW w:w="9426" w:type="dxa"/>
        <w:tblBorders>
          <w:top w:val="nil"/>
          <w:left w:val="single" w:sz="18" w:space="0" w:color="1F3A5F"/>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p>
            <w:pPr>
              <w:spacing w:after="0"/>
            </w:pPr>
            <w:r>
              <w:rPr>
                <w:color w:val="1F3A5F"/>
                <w:sz w:val="19"/>
                <w:szCs w:val="19"/>
              </w:rPr>
              <w:t xml:space="preserve">Dit document is bedoeld als hulpmiddel voor nabestaanden. U kunt het afdrukken, invullen en meenemen naar gesprekken met de huisarts, de gemeente of een uitvaartondernemer. U bent nergens toe verplicht en bepaalt zelf welke stappen u zelf doet en welke u laat verzorgen.</w:t>
            </w:r>
          </w:p>
        </w:tc>
      </w:tr>
    </w:tbl>
    <w:p>
      <w:pPr>
        <w:spacing w:after="200"/>
      </w:pPr>
    </w:p>
    <w:p>
      <w:pPr>
        <w:spacing w:after="120" w:line="288" w:lineRule="auto"/>
      </w:pPr>
      <w:r>
        <w:rPr>
          <w:sz w:val="20"/>
          <w:szCs w:val="20"/>
        </w:rPr>
        <w:t xml:space="preserve">Wanneer iemand overlijdt, komt er in korte tijd veel op u af. Veel zaken hebben geen haast. Een klein aantal wel. Hieronder staan de stappen in de volgorde waarin ze normaal aan de orde komen, met wat u nodig heeft en wie het kan doen.</w:t>
      </w:r>
    </w:p>
    <w:p>
      <w:pPr>
        <w:spacing w:after="200" w:line="288" w:lineRule="auto"/>
      </w:pPr>
      <w:r>
        <w:rPr>
          <w:sz w:val="20"/>
          <w:szCs w:val="20"/>
        </w:rPr>
        <w:t xml:space="preserve">Neem de tijd. In vrijwel alle gevallen is er geen enkele reden om binnen een uur beslissingen te nemen over de uitvaart zelf. Alleen de eerste drie stappen moeten werkelijk direct gebeuren.</w:t>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Direct — de eerste uren</w:t>
            </w:r>
          </w:p>
        </w:tc>
      </w:tr>
    </w:tbl>
    <w:p>
      <w:pPr>
        <w:spacing w:after="160"/>
      </w:pP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1</w:t>
            </w:r>
          </w:p>
        </w:tc>
        <w:tc>
          <w:tcPr>
            <w:tcW w:w="8906" w:type="dxa"/>
            <w:tcMar>
              <w:top w:w="60" w:type="dxa"/>
              <w:left w:w="200" w:type="dxa"/>
              <w:bottom w:w="60" w:type="dxa"/>
              <w:right w:w="0" w:type="dxa"/>
            </w:tcMar>
            <w:vAlign w:val="center"/>
          </w:tcPr>
          <w:p>
            <w:pPr>
              <w:spacing w:after="0"/>
            </w:pPr>
            <w:r>
              <w:rPr>
                <w:b/>
                <w:bCs/>
                <w:color w:val="1F3A5F"/>
                <w:sz w:val="23"/>
                <w:szCs w:val="23"/>
              </w:rPr>
              <w:t xml:space="preserve">Bel een arts</w:t>
            </w:r>
          </w:p>
        </w:tc>
      </w:tr>
    </w:tbl>
    <w:p>
      <w:pPr>
        <w:spacing w:after="80"/>
      </w:pPr>
    </w:p>
    <w:p>
      <w:pPr>
        <w:spacing w:after="120" w:line="288" w:lineRule="auto"/>
      </w:pPr>
      <w:r>
        <w:rPr>
          <w:sz w:val="20"/>
          <w:szCs w:val="20"/>
        </w:rPr>
        <w:t xml:space="preserve">Bel bij een overlijden thuis de huisarts of, buiten kantooruren, de huisartsenpost. Overlijdt iemand in een ziekenhuis, hospice of verpleeghuis, dan regelt de instelling dit.</w:t>
      </w:r>
    </w:p>
    <w:p>
      <w:pPr>
        <w:spacing w:after="80" w:line="288" w:lineRule="auto"/>
      </w:pPr>
      <w:r>
        <w:rPr>
          <w:sz w:val="20"/>
          <w:szCs w:val="20"/>
        </w:rPr>
        <w:t xml:space="preserve">De arts stelt het overlijden vast en maakt twee verklaringen op:</w:t>
      </w:r>
    </w:p>
    <w:tbl>
      <w:tblPr>
        <w:tblW w:w="9426" w:type="dxa"/>
        <w:tblBorders>
          <w:top w:val="nil"/>
          <w:left w:val="nil"/>
          <w:bottom w:val="single" w:sz="4" w:space="0" w:color="C9D3DE"/>
          <w:right w:val="nil"/>
          <w:insideH w:val="single" w:sz="4" w:space="0" w:color="C9D3DE"/>
          <w:insideV w:val="nil"/>
        </w:tblBorders>
        <w:tblCellMar>
          <w:left w:w="10" w:type="dxa"/>
          <w:right w:w="10" w:type="dxa"/>
        </w:tblCellMar>
        <w:tblLook w:val="04A0" w:firstRow="1" w:lastRow="0" w:firstColumn="0" w:lastColumn="0" w:noHBand="0" w:noVBand="1"/>
      </w:tblPr>
      <w:tblGrid>
        <w:gridCol w:w="1500"/>
        <w:gridCol w:w="5026"/>
        <w:gridCol w:w="2900"/>
      </w:tblGrid>
      <w:tr>
        <w:trPr>
          <w:tblHeader/>
        </w:trPr>
        <w:tc>
          <w:tcPr>
            <w:tcW w:w="1500" w:type="dxa"/>
            <w:shd w:val="clear" w:color="auto" w:fill="1F3A5F"/>
            <w:tcMar>
              <w:top w:w="60" w:type="dxa"/>
              <w:left w:w="100" w:type="dxa"/>
              <w:bottom w:w="60" w:type="dxa"/>
              <w:right w:w="100" w:type="dxa"/>
            </w:tcMar>
          </w:tcPr>
          <w:p>
            <w:pPr>
              <w:spacing w:after="0"/>
            </w:pPr>
            <w:r>
              <w:rPr>
                <w:b/>
                <w:bCs/>
                <w:color w:val="FFFFFF"/>
                <w:sz w:val="17"/>
                <w:szCs w:val="17"/>
              </w:rPr>
              <w:t xml:space="preserve">Verklaring</w:t>
            </w:r>
          </w:p>
        </w:tc>
        <w:tc>
          <w:tcPr>
            <w:tcW w:w="5026" w:type="dxa"/>
            <w:shd w:val="clear" w:color="auto" w:fill="1F3A5F"/>
            <w:tcMar>
              <w:top w:w="60" w:type="dxa"/>
              <w:left w:w="100" w:type="dxa"/>
              <w:bottom w:w="60" w:type="dxa"/>
              <w:right w:w="100" w:type="dxa"/>
            </w:tcMar>
          </w:tcPr>
          <w:p>
            <w:pPr>
              <w:spacing w:after="0"/>
            </w:pPr>
            <w:r>
              <w:rPr>
                <w:b/>
                <w:bCs/>
                <w:color w:val="FFFFFF"/>
                <w:sz w:val="17"/>
                <w:szCs w:val="17"/>
              </w:rPr>
              <w:t xml:space="preserve">Wat het is</w:t>
            </w:r>
          </w:p>
        </w:tc>
        <w:tc>
          <w:tcPr>
            <w:tcW w:w="2900" w:type="dxa"/>
            <w:shd w:val="clear" w:color="auto" w:fill="1F3A5F"/>
            <w:tcMar>
              <w:top w:w="60" w:type="dxa"/>
              <w:left w:w="100" w:type="dxa"/>
              <w:bottom w:w="60" w:type="dxa"/>
              <w:right w:w="100" w:type="dxa"/>
            </w:tcMar>
          </w:tcPr>
          <w:p>
            <w:pPr>
              <w:spacing w:after="0"/>
            </w:pPr>
            <w:r>
              <w:rPr>
                <w:b/>
                <w:bCs/>
                <w:color w:val="FFFFFF"/>
                <w:sz w:val="17"/>
                <w:szCs w:val="17"/>
              </w:rPr>
              <w:t xml:space="preserve">Voor wie</w:t>
            </w:r>
          </w:p>
        </w:tc>
      </w:tr>
      <w:tr>
        <w:tc>
          <w:tcPr>
            <w:tcW w:w="1500" w:type="dxa"/>
            <w:shd w:val="clear" w:color="auto" w:fill="FFFFFF"/>
            <w:tcMar>
              <w:top w:w="60" w:type="dxa"/>
              <w:left w:w="100" w:type="dxa"/>
              <w:bottom w:w="60" w:type="dxa"/>
              <w:right w:w="100" w:type="dxa"/>
            </w:tcMar>
          </w:tcPr>
          <w:p>
            <w:pPr>
              <w:spacing w:after="0"/>
            </w:pPr>
            <w:r>
              <w:rPr>
                <w:sz w:val="18"/>
                <w:szCs w:val="18"/>
              </w:rPr>
              <w:t xml:space="preserve">A-verklaring</w:t>
            </w:r>
          </w:p>
        </w:tc>
        <w:tc>
          <w:tcPr>
            <w:tcW w:w="5026" w:type="dxa"/>
            <w:shd w:val="clear" w:color="auto" w:fill="FFFFFF"/>
            <w:tcMar>
              <w:top w:w="60" w:type="dxa"/>
              <w:left w:w="100" w:type="dxa"/>
              <w:bottom w:w="60" w:type="dxa"/>
              <w:right w:w="100" w:type="dxa"/>
            </w:tcMar>
          </w:tcPr>
          <w:p>
            <w:pPr>
              <w:spacing w:after="0"/>
            </w:pPr>
            <w:r>
              <w:rPr>
                <w:sz w:val="18"/>
                <w:szCs w:val="18"/>
              </w:rPr>
              <w:t xml:space="preserve">Verklaring van overlijden. Hiermee is iemand officiîel overleden.</w:t>
            </w:r>
          </w:p>
        </w:tc>
        <w:tc>
          <w:tcPr>
            <w:tcW w:w="2900" w:type="dxa"/>
            <w:shd w:val="clear" w:color="auto" w:fill="FFFFFF"/>
            <w:tcMar>
              <w:top w:w="60" w:type="dxa"/>
              <w:left w:w="100" w:type="dxa"/>
              <w:bottom w:w="60" w:type="dxa"/>
              <w:right w:w="100" w:type="dxa"/>
            </w:tcMar>
          </w:tcPr>
          <w:p>
            <w:pPr>
              <w:spacing w:after="0"/>
            </w:pPr>
            <w:r>
              <w:rPr>
                <w:sz w:val="18"/>
                <w:szCs w:val="18"/>
              </w:rPr>
              <w:t xml:space="preserve">Voor u — nodig bij de gemeente</w:t>
            </w:r>
          </w:p>
        </w:tc>
      </w:tr>
      <w:tr>
        <w:tc>
          <w:tcPr>
            <w:tcW w:w="1500" w:type="dxa"/>
            <w:shd w:val="clear" w:color="auto" w:fill="F2F5F8"/>
            <w:tcMar>
              <w:top w:w="60" w:type="dxa"/>
              <w:left w:w="100" w:type="dxa"/>
              <w:bottom w:w="60" w:type="dxa"/>
              <w:right w:w="100" w:type="dxa"/>
            </w:tcMar>
          </w:tcPr>
          <w:p>
            <w:pPr>
              <w:spacing w:after="0"/>
            </w:pPr>
            <w:r>
              <w:rPr>
                <w:sz w:val="18"/>
                <w:szCs w:val="18"/>
              </w:rPr>
              <w:t xml:space="preserve">B-verklaring</w:t>
            </w:r>
          </w:p>
        </w:tc>
        <w:tc>
          <w:tcPr>
            <w:tcW w:w="5026" w:type="dxa"/>
            <w:shd w:val="clear" w:color="auto" w:fill="F2F5F8"/>
            <w:tcMar>
              <w:top w:w="60" w:type="dxa"/>
              <w:left w:w="100" w:type="dxa"/>
              <w:bottom w:w="60" w:type="dxa"/>
              <w:right w:w="100" w:type="dxa"/>
            </w:tcMar>
          </w:tcPr>
          <w:p>
            <w:pPr>
              <w:spacing w:after="0"/>
            </w:pPr>
            <w:r>
              <w:rPr>
                <w:sz w:val="18"/>
                <w:szCs w:val="18"/>
              </w:rPr>
              <w:t xml:space="preserve">Doodsoorzaakverklaring.</w:t>
            </w:r>
          </w:p>
        </w:tc>
        <w:tc>
          <w:tcPr>
            <w:tcW w:w="2900" w:type="dxa"/>
            <w:shd w:val="clear" w:color="auto" w:fill="F2F5F8"/>
            <w:tcMar>
              <w:top w:w="60" w:type="dxa"/>
              <w:left w:w="100" w:type="dxa"/>
              <w:bottom w:w="60" w:type="dxa"/>
              <w:right w:w="100" w:type="dxa"/>
            </w:tcMar>
          </w:tcPr>
          <w:p>
            <w:pPr>
              <w:spacing w:after="0"/>
            </w:pPr>
            <w:r>
              <w:rPr>
                <w:sz w:val="18"/>
                <w:szCs w:val="18"/>
              </w:rPr>
              <w:t xml:space="preserve">Gaat verzegeld naar het CBS</w:t>
            </w:r>
          </w:p>
        </w:tc>
      </w:tr>
    </w:tbl>
    <w:p>
      <w:pPr>
        <w:spacing w:after="120"/>
      </w:pPr>
    </w:p>
    <w:p>
      <w:pPr>
        <w:spacing w:after="120" w:line="288" w:lineRule="auto"/>
      </w:pPr>
      <w:r>
        <w:rPr>
          <w:sz w:val="20"/>
          <w:szCs w:val="20"/>
        </w:rPr>
        <w:t xml:space="preserve">Bewaar de A-verklaring goed. U heeft hem nodig voor de aangifte bij de gemeente.</w:t>
      </w: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2</w:t>
            </w:r>
          </w:p>
        </w:tc>
        <w:tc>
          <w:tcPr>
            <w:tcW w:w="8906" w:type="dxa"/>
            <w:tcMar>
              <w:top w:w="60" w:type="dxa"/>
              <w:left w:w="200" w:type="dxa"/>
              <w:bottom w:w="60" w:type="dxa"/>
              <w:right w:w="0" w:type="dxa"/>
            </w:tcMar>
            <w:vAlign w:val="center"/>
          </w:tcPr>
          <w:p>
            <w:pPr>
              <w:spacing w:after="0"/>
            </w:pPr>
            <w:r>
              <w:rPr>
                <w:b/>
                <w:bCs/>
                <w:color w:val="1F3A5F"/>
                <w:sz w:val="23"/>
                <w:szCs w:val="23"/>
              </w:rPr>
              <w:t xml:space="preserve">Bel 112 bij een onverwacht of onnatuurlijk overlijden</w:t>
            </w:r>
          </w:p>
        </w:tc>
      </w:tr>
    </w:tbl>
    <w:p>
      <w:pPr>
        <w:spacing w:after="80"/>
      </w:pPr>
    </w:p>
    <w:p>
      <w:pPr>
        <w:spacing w:after="120" w:line="288" w:lineRule="auto"/>
      </w:pPr>
      <w:r>
        <w:rPr>
          <w:sz w:val="20"/>
          <w:szCs w:val="20"/>
        </w:rPr>
        <w:t xml:space="preserve">Bij een ongeval, een vermoeden van een niet-natuurlijke doodsoorzaak of een onverwacht overlijden zonder arts erbij: bel 112. Er komt dan een forensisch arts. Verplaats de overledene niet en laat de situatie zoveel mogelijk ongemoeid.</w:t>
      </w: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3</w:t>
            </w:r>
          </w:p>
        </w:tc>
        <w:tc>
          <w:tcPr>
            <w:tcW w:w="8906" w:type="dxa"/>
            <w:tcMar>
              <w:top w:w="60" w:type="dxa"/>
              <w:left w:w="200" w:type="dxa"/>
              <w:bottom w:w="60" w:type="dxa"/>
              <w:right w:w="0" w:type="dxa"/>
            </w:tcMar>
            <w:vAlign w:val="center"/>
          </w:tcPr>
          <w:p>
            <w:pPr>
              <w:spacing w:after="0"/>
            </w:pPr>
            <w:r>
              <w:rPr>
                <w:b/>
                <w:bCs/>
                <w:color w:val="1F3A5F"/>
                <w:sz w:val="23"/>
                <w:szCs w:val="23"/>
              </w:rPr>
              <w:t xml:space="preserve">Waarschuw de mensen die het als eerste moeten weten</w:t>
            </w:r>
          </w:p>
        </w:tc>
      </w:tr>
    </w:tbl>
    <w:p>
      <w:pPr>
        <w:spacing w:after="80"/>
      </w:pPr>
    </w:p>
    <w:p>
      <w:pPr>
        <w:spacing w:after="120" w:line="288" w:lineRule="auto"/>
      </w:pPr>
      <w:r>
        <w:rPr>
          <w:sz w:val="20"/>
          <w:szCs w:val="20"/>
        </w:rPr>
        <w:t xml:space="preserve">Denk aan de partner, kinderen, ouders en directe familie. U hoeft niet iedereen zelf te bellen — vraag gerust iemand om u te helpen. Het losse adressenoverzicht helpt hierbij en laat u het bellen verdelen.</w:t>
      </w: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4</w:t>
            </w:r>
          </w:p>
        </w:tc>
        <w:tc>
          <w:tcPr>
            <w:tcW w:w="8906" w:type="dxa"/>
            <w:tcMar>
              <w:top w:w="60" w:type="dxa"/>
              <w:left w:w="200" w:type="dxa"/>
              <w:bottom w:w="60" w:type="dxa"/>
              <w:right w:w="0" w:type="dxa"/>
            </w:tcMar>
            <w:vAlign w:val="center"/>
          </w:tcPr>
          <w:p>
            <w:pPr>
              <w:spacing w:after="0"/>
            </w:pPr>
            <w:r>
              <w:rPr>
                <w:b/>
                <w:bCs/>
                <w:color w:val="1F3A5F"/>
                <w:sz w:val="23"/>
                <w:szCs w:val="23"/>
              </w:rPr>
              <w:t xml:space="preserve">Zoek uit of er wensen zijn vastgelegd</w:t>
            </w:r>
          </w:p>
        </w:tc>
      </w:tr>
    </w:tbl>
    <w:p>
      <w:pPr>
        <w:spacing w:after="80"/>
      </w:pPr>
    </w:p>
    <w:p>
      <w:pPr>
        <w:spacing w:after="200" w:line="288" w:lineRule="auto"/>
      </w:pPr>
      <w:r>
        <w:rPr>
          <w:sz w:val="20"/>
          <w:szCs w:val="20"/>
        </w:rPr>
        <w:t xml:space="preserve">Kijk of er een wilsbeschikking, codicil of uitvaartverzekering is. Dit bepaalt veel van wat hierna volgt. Controleer ook of er een donorregistratie is: bij donatie is haast geboden en neemt het ziekenhuis het initiatief.</w:t>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Binnen enkele dagen</w:t>
            </w:r>
          </w:p>
        </w:tc>
      </w:tr>
    </w:tbl>
    <w:p>
      <w:pPr>
        <w:spacing w:after="160"/>
      </w:pP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5</w:t>
            </w:r>
          </w:p>
        </w:tc>
        <w:tc>
          <w:tcPr>
            <w:tcW w:w="8906" w:type="dxa"/>
            <w:tcMar>
              <w:top w:w="60" w:type="dxa"/>
              <w:left w:w="200" w:type="dxa"/>
              <w:bottom w:w="60" w:type="dxa"/>
              <w:right w:w="0" w:type="dxa"/>
            </w:tcMar>
            <w:vAlign w:val="center"/>
          </w:tcPr>
          <w:p>
            <w:pPr>
              <w:spacing w:after="0"/>
            </w:pPr>
            <w:r>
              <w:rPr>
                <w:b/>
                <w:bCs/>
                <w:color w:val="1F3A5F"/>
                <w:sz w:val="23"/>
                <w:szCs w:val="23"/>
              </w:rPr>
              <w:t xml:space="preserve">Kies een uitvaartondernemer — of doe het zelf</w:t>
            </w:r>
          </w:p>
        </w:tc>
      </w:tr>
    </w:tbl>
    <w:p>
      <w:pPr>
        <w:spacing w:after="80"/>
      </w:pPr>
    </w:p>
    <w:p>
      <w:pPr>
        <w:spacing w:after="120" w:line="288" w:lineRule="auto"/>
      </w:pPr>
      <w:r>
        <w:rPr>
          <w:sz w:val="20"/>
          <w:szCs w:val="20"/>
        </w:rPr>
        <w:t xml:space="preserve">U bent volledig vrij in uw keuze. U mag een uitvaart ook geheel of gedeeltelijk zelf regelen; dat is wettelijk toegestaan en vraagt vooral tijd en organisatie.</w:t>
      </w:r>
    </w:p>
    <w:p>
      <w:pPr>
        <w:spacing w:after="120" w:line="288" w:lineRule="auto"/>
      </w:pPr>
      <w:r>
        <w:rPr>
          <w:sz w:val="20"/>
          <w:szCs w:val="20"/>
        </w:rPr>
        <w:t xml:space="preserve">Vraag altijd om een schriftelijke prijsopgave voordat u opdracht geeft. Vraag expliciet naar posten die nog niet vaststaan — vaak “pro memorie” of “stelpost” genoemd. Die verschijnen anders pas achteraf op de eindfactuur.</w:t>
      </w:r>
    </w:p>
    <w:tbl>
      <w:tblPr>
        <w:tblW w:w="9426" w:type="dxa"/>
        <w:tblBorders>
          <w:top w:val="nil"/>
          <w:left w:val="single" w:sz="18" w:space="0" w:color="B08D57"/>
          <w:bottom w:val="nil"/>
          <w:right w:val="nil"/>
          <w:insideH w:val="nil"/>
          <w:insideV w:val="nil"/>
        </w:tblBorders>
        <w:tblCellMar>
          <w:left w:w="0" w:type="dxa"/>
          <w:right w:w="0" w:type="dxa"/>
        </w:tblCellMar>
        <w:tblLook w:val="0000"/>
      </w:tblPr>
      <w:tblGrid>
        <w:gridCol w:w="9426"/>
      </w:tblGrid>
      <w:tr>
        <w:tc>
          <w:tcPr>
            <w:tcW w:w="9426" w:type="dxa"/>
            <w:shd w:val="clear" w:color="auto" w:fill="FBF8F3"/>
            <w:tcMar>
              <w:top w:w="200" w:type="dxa"/>
              <w:left w:w="260" w:type="dxa"/>
              <w:bottom w:w="200" w:type="dxa"/>
              <w:right w:w="260" w:type="dxa"/>
            </w:tcMar>
          </w:tcPr>
          <w:p>
            <w:pPr>
              <w:spacing w:after="60"/>
            </w:pPr>
            <w:r>
              <w:rPr>
                <w:b/>
                <w:bCs/>
                <w:color w:val="B08D57"/>
                <w:sz w:val="16"/>
                <w:szCs w:val="16"/>
              </w:rPr>
              <w:t xml:space="preserve">LET OP</w:t>
            </w:r>
          </w:p>
          <w:p>
            <w:pPr>
              <w:spacing w:after="0"/>
            </w:pPr>
            <w:r>
              <w:rPr>
                <w:color w:val="1F3A5F"/>
                <w:sz w:val="19"/>
                <w:szCs w:val="19"/>
              </w:rPr>
              <w:t xml:space="preserve">Ook met een uitvaartverzekering bent u niet verplicht de ondernemer van de verzekeraar te gebruiken. Bij een naturapolis heeft u vaak alsnog recht op een uitkering in geld. Vraag dit na vóórdat u een opdracht tekent — het wordt niet altijd uit zichzelf verteld.</w:t>
            </w:r>
          </w:p>
        </w:tc>
      </w:tr>
    </w:tbl>
    <w:p>
      <w:pPr>
        <w:spacing w:after="200"/>
      </w:pP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6</w:t>
            </w:r>
          </w:p>
        </w:tc>
        <w:tc>
          <w:tcPr>
            <w:tcW w:w="8906" w:type="dxa"/>
            <w:tcMar>
              <w:top w:w="60" w:type="dxa"/>
              <w:left w:w="200" w:type="dxa"/>
              <w:bottom w:w="60" w:type="dxa"/>
              <w:right w:w="0" w:type="dxa"/>
            </w:tcMar>
            <w:vAlign w:val="center"/>
          </w:tcPr>
          <w:p>
            <w:pPr>
              <w:spacing w:after="0"/>
            </w:pPr>
            <w:r>
              <w:rPr>
                <w:b/>
                <w:bCs/>
                <w:color w:val="1F3A5F"/>
                <w:sz w:val="23"/>
                <w:szCs w:val="23"/>
              </w:rPr>
              <w:t xml:space="preserve">Doe aangifte van overlijden bij de gemeente</w:t>
            </w:r>
          </w:p>
        </w:tc>
      </w:tr>
    </w:tbl>
    <w:p>
      <w:pPr>
        <w:spacing w:after="80"/>
      </w:pPr>
    </w:p>
    <w:p>
      <w:pPr>
        <w:spacing w:after="120" w:line="288" w:lineRule="auto"/>
      </w:pPr>
      <w:r>
        <w:rPr>
          <w:sz w:val="20"/>
          <w:szCs w:val="20"/>
        </w:rPr>
        <w:t xml:space="preserve">De aangifte gebeurt in de gemeente waar de persoon is overleden, niet waar hij woonde. U kunt dit zelf doen of laten doen door de uitvaartondernemer.</w:t>
      </w:r>
    </w:p>
    <w:p>
      <w:pPr>
        <w:spacing w:after="120" w:line="288" w:lineRule="auto"/>
      </w:pPr>
      <w:r>
        <w:rPr>
          <w:sz w:val="20"/>
          <w:szCs w:val="20"/>
        </w:rPr>
        <w:t xml:space="preserve">U ontvangt daarna de akte van overlijden en het verlof tot begraven of cremeren. Vraag meerdere afschriften aan — u heeft er al snel vijf tot tien nodig voor banken, verzekeraars en pensioenfondsen.</w:t>
      </w:r>
    </w:p>
    <w:p>
      <w:pPr>
        <w:spacing w:after="120" w:line="288" w:lineRule="auto"/>
      </w:pPr>
      <w:r>
        <w:rPr>
          <w:sz w:val="20"/>
          <w:szCs w:val="20"/>
        </w:rPr>
        <w:t xml:space="preserve">De gemeente geeft het overlijden automatisch door aan de Belastingdienst, de SVB, het UWV en het pensioenregister. Andere partijen moet u zelf informeren.</w:t>
      </w: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7</w:t>
            </w:r>
          </w:p>
        </w:tc>
        <w:tc>
          <w:tcPr>
            <w:tcW w:w="8906" w:type="dxa"/>
            <w:tcMar>
              <w:top w:w="60" w:type="dxa"/>
              <w:left w:w="200" w:type="dxa"/>
              <w:bottom w:w="60" w:type="dxa"/>
              <w:right w:w="0" w:type="dxa"/>
            </w:tcMar>
            <w:vAlign w:val="center"/>
          </w:tcPr>
          <w:p>
            <w:pPr>
              <w:spacing w:after="0"/>
            </w:pPr>
            <w:r>
              <w:rPr>
                <w:b/>
                <w:bCs/>
                <w:color w:val="1F3A5F"/>
                <w:sz w:val="23"/>
                <w:szCs w:val="23"/>
              </w:rPr>
              <w:t xml:space="preserve">Bepaal de datum en de vorm</w:t>
            </w:r>
          </w:p>
        </w:tc>
      </w:tr>
    </w:tbl>
    <w:p>
      <w:pPr>
        <w:spacing w:after="80"/>
      </w:pPr>
    </w:p>
    <w:p>
      <w:pPr>
        <w:spacing w:after="120" w:line="288" w:lineRule="auto"/>
      </w:pPr>
      <w:r>
        <w:rPr>
          <w:sz w:val="20"/>
          <w:szCs w:val="20"/>
        </w:rPr>
        <w:t xml:space="preserve">De wet schrijft voor dat een uitvaart plaatsvindt op zijn vroegst 36 uur en uiterlijk 6 werkdagen na het overlijden. Uitstel is mogelijk met toestemming van de burgemeester.</w:t>
      </w:r>
    </w:p>
    <w:p>
      <w:pPr>
        <w:spacing w:before="180" w:after="0"/>
      </w:pPr>
    </w:p>
    <w:tbl>
      <w:tblPr>
        <w:tblW w:w="9426" w:type="dxa"/>
        <w:tblBorders>
          <w:top w:val="nil"/>
          <w:left w:val="nil"/>
          <w:bottom w:val="nil"/>
          <w:right w:val="nil"/>
          <w:insideH w:val="nil"/>
          <w:insideV w:val="nil"/>
        </w:tblBorders>
        <w:tblCellMar>
          <w:left w:w="0" w:type="dxa"/>
          <w:right w:w="0" w:type="dxa"/>
        </w:tblCellMar>
        <w:tblLook w:val="0000"/>
      </w:tblPr>
      <w:tblGrid>
        <w:gridCol w:w="520"/>
        <w:gridCol w:w="8906"/>
      </w:tblGrid>
      <w:tr>
        <w:tc>
          <w:tcPr>
            <w:tcW w:w="520" w:type="dxa"/>
            <w:shd w:val="clear" w:color="auto" w:fill="1F3A5F"/>
            <w:tcMar>
              <w:top w:w="60" w:type="dxa"/>
              <w:left w:w="0" w:type="dxa"/>
              <w:bottom w:w="60" w:type="dxa"/>
              <w:right w:w="0" w:type="dxa"/>
            </w:tcMar>
            <w:vAlign w:val="center"/>
          </w:tcPr>
          <w:p>
            <w:pPr>
              <w:spacing w:after="0"/>
              <w:jc w:val="center"/>
            </w:pPr>
            <w:r>
              <w:rPr>
                <w:b/>
                <w:bCs/>
                <w:color w:val="FFFFFF"/>
                <w:sz w:val="22"/>
                <w:szCs w:val="22"/>
              </w:rPr>
              <w:t xml:space="preserve">8</w:t>
            </w:r>
          </w:p>
        </w:tc>
        <w:tc>
          <w:tcPr>
            <w:tcW w:w="8906" w:type="dxa"/>
            <w:tcMar>
              <w:top w:w="60" w:type="dxa"/>
              <w:left w:w="200" w:type="dxa"/>
              <w:bottom w:w="60" w:type="dxa"/>
              <w:right w:w="0" w:type="dxa"/>
            </w:tcMar>
            <w:vAlign w:val="center"/>
          </w:tcPr>
          <w:p>
            <w:pPr>
              <w:spacing w:after="0"/>
            </w:pPr>
            <w:r>
              <w:rPr>
                <w:b/>
                <w:bCs/>
                <w:color w:val="1F3A5F"/>
                <w:sz w:val="23"/>
                <w:szCs w:val="23"/>
              </w:rPr>
              <w:t xml:space="preserve">Regel de opbaring</w:t>
            </w:r>
          </w:p>
        </w:tc>
      </w:tr>
    </w:tbl>
    <w:p>
      <w:pPr>
        <w:spacing w:after="80"/>
      </w:pPr>
    </w:p>
    <w:p>
      <w:pPr>
        <w:spacing w:after="200" w:line="288" w:lineRule="auto"/>
      </w:pPr>
      <w:r>
        <w:rPr>
          <w:sz w:val="20"/>
          <w:szCs w:val="20"/>
        </w:rPr>
        <w:t xml:space="preserve">Thuis, in een uitvaartcentrum of in een rouwkamer van een instelling. Bij opbaring thuis is koeling nodig. Dit is een keuze die u rustig kunt maken.</w:t>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Waar u op moet letten</w:t>
            </w:r>
          </w:p>
        </w:tc>
      </w:tr>
    </w:tbl>
    <w:p>
      <w:pPr>
        <w:spacing w:after="160"/>
      </w:pPr>
    </w:p>
    <w:p>
      <w:pPr>
        <w:spacing w:before="200" w:after="80"/>
      </w:pPr>
      <w:r>
        <w:rPr>
          <w:b/>
          <w:bCs/>
          <w:color w:val="1F3A5F"/>
          <w:sz w:val="21"/>
          <w:szCs w:val="21"/>
        </w:rPr>
        <w:t>Aanvaard de erfenis niet per ongeluk</w:t>
      </w:r>
    </w:p>
    <w:p>
      <w:pPr>
        <w:spacing w:after="120" w:line="288" w:lineRule="auto"/>
      </w:pPr>
      <w:r>
        <w:rPr>
          <w:sz w:val="20"/>
          <w:szCs w:val="20"/>
        </w:rPr>
        <w:t xml:space="preserve">Dit is het punt waar de meeste mensen in de problemen komen. Zolang u niet zeker weet of de nalatenschap positief is, moet u niets meenemen, niets weggooien en niets verkopen. Ook niet iets kleins met emotionele waarde.</w:t>
      </w:r>
    </w:p>
    <w:tbl>
      <w:tblPr>
        <w:tblW w:w="9426" w:type="dxa"/>
        <w:tblBorders>
          <w:top w:val="nil"/>
          <w:left w:val="single" w:sz="18" w:space="0" w:color="B08D57"/>
          <w:bottom w:val="nil"/>
          <w:right w:val="nil"/>
          <w:insideH w:val="nil"/>
          <w:insideV w:val="nil"/>
        </w:tblBorders>
        <w:tblCellMar>
          <w:left w:w="0" w:type="dxa"/>
          <w:right w:w="0" w:type="dxa"/>
        </w:tblCellMar>
        <w:tblLook w:val="0000"/>
      </w:tblPr>
      <w:tblGrid>
        <w:gridCol w:w="9426"/>
      </w:tblGrid>
      <w:tr>
        <w:tc>
          <w:tcPr>
            <w:tcW w:w="9426" w:type="dxa"/>
            <w:shd w:val="clear" w:color="auto" w:fill="FBF8F3"/>
            <w:tcMar>
              <w:top w:w="200" w:type="dxa"/>
              <w:left w:w="260" w:type="dxa"/>
              <w:bottom w:w="200" w:type="dxa"/>
              <w:right w:w="260" w:type="dxa"/>
            </w:tcMar>
          </w:tcPr>
          <w:p>
            <w:pPr>
              <w:spacing w:after="60"/>
            </w:pPr>
            <w:r>
              <w:rPr>
                <w:b/>
                <w:bCs/>
                <w:color w:val="B08D57"/>
                <w:sz w:val="16"/>
                <w:szCs w:val="16"/>
              </w:rPr>
              <w:t xml:space="preserve">ONOMKEERBAAR</w:t>
            </w:r>
          </w:p>
          <w:p>
            <w:pPr>
              <w:spacing w:after="0"/>
            </w:pPr>
            <w:r>
              <w:rPr>
                <w:color w:val="1F3A5F"/>
                <w:sz w:val="19"/>
                <w:szCs w:val="19"/>
              </w:rPr>
              <w:t xml:space="preserve">Door dat wél te doen, aanvaardt u de erfenis stilzwijgend en bent u persoonlijk aansprakelijk voor eventuele schulden — ook met uw eigen vermogen. Dat is niet meer terug te draaien. Twijfelt u? Raadpleeg een notaris vóórdat u iets uit de woning haalt.</w:t>
            </w:r>
          </w:p>
        </w:tc>
      </w:tr>
    </w:tbl>
    <w:p>
      <w:pPr>
        <w:spacing w:after="200"/>
      </w:pPr>
    </w:p>
    <w:p>
      <w:pPr>
        <w:spacing w:before="200" w:after="80"/>
      </w:pPr>
      <w:r>
        <w:rPr>
          <w:b/>
          <w:bCs/>
          <w:color w:val="1F3A5F"/>
          <w:sz w:val="21"/>
          <w:szCs w:val="21"/>
        </w:rPr>
        <w:t>Teken niets onder druk</w:t>
      </w:r>
    </w:p>
    <w:p>
      <w:pPr>
        <w:spacing w:after="120" w:line="288" w:lineRule="auto"/>
      </w:pPr>
      <w:r>
        <w:rPr>
          <w:sz w:val="20"/>
          <w:szCs w:val="20"/>
        </w:rPr>
        <w:t xml:space="preserve">U neemt beslissingen op een moment waarop u dat het liefst niet zou doen. Laat u niet haasten. Een opdrachtbevestiging kunt u rustig doorlezen, en u mag altijd vragen om bedenktijd of om een tweede offerte.</w:t>
      </w:r>
    </w:p>
    <w:p>
      <w:pPr>
        <w:spacing w:before="200" w:after="80"/>
      </w:pPr>
      <w:r>
        <w:rPr>
          <w:b/>
          <w:bCs/>
          <w:color w:val="1F3A5F"/>
          <w:sz w:val="21"/>
          <w:szCs w:val="21"/>
        </w:rPr>
        <w:t>Bewaar alles</w:t>
      </w:r>
    </w:p>
    <w:p>
      <w:pPr>
        <w:spacing w:after="200" w:line="288" w:lineRule="auto"/>
      </w:pPr>
      <w:r>
        <w:rPr>
          <w:sz w:val="20"/>
          <w:szCs w:val="20"/>
        </w:rPr>
        <w:t xml:space="preserve">Houd alle facturen, offertes en correspondentie bij elkaar. U heeft ze nodig voor de verzekeraar, de belastingaangifte en de afwikkeling van de nalatenschap.</w:t>
      </w:r>
    </w:p>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Ruimte voor uw aantekeningen</w:t>
            </w:r>
          </w:p>
        </w:tc>
      </w:tr>
    </w:tbl>
    <w:p>
      <w:pPr>
        <w:spacing w:after="160"/>
      </w:pPr>
    </w:p>
    <w:p>
      <w:pPr>
        <w:spacing w:before="160" w:after="60"/>
      </w:pPr>
      <w:r>
        <w:rPr>
          <w:b/>
          <w:bCs/>
          <w:color w:val="5A6B80"/>
          <w:spacing w:val="40"/>
          <w:sz w:val="15"/>
          <w:szCs w:val="15"/>
        </w:rPr>
        <w:t>GEGEVENS VAN DE OVERLEDENE</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900"/>
              <w:gridCol w:w="6026"/>
            </w:tblGrid>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Naam en voorletter(s)</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Geboortedatum en -plaats</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Adres</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Postcode en plaats</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Burgerservicenummer</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Datum van overlijden</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Plaats van overlijden</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BETROKKEN PARTIJEN</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900"/>
              <w:gridCol w:w="6026"/>
            </w:tblGrid>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Arts / huisarts</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Telefoonnummer arts</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Gemeente van aangifte</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Uitvaartondernemer</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Telefoonnummer ondernemer</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Contactpersoon</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Notaris (indien van toepassing)</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spacing w:before="160" w:after="60"/>
      </w:pPr>
      <w:r>
        <w:rPr>
          <w:b/>
          <w:bCs/>
          <w:color w:val="5A6B80"/>
          <w:spacing w:val="40"/>
          <w:sz w:val="15"/>
          <w:szCs w:val="15"/>
        </w:rPr>
        <w:t>VERZEKERINGEN EN POLISSEN</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26" w:type="dxa"/>
              <w:tblBorders>
                <w:top w:val="nil"/>
                <w:left w:val="nil"/>
                <w:bottom w:val="nil"/>
                <w:right w:val="nil"/>
                <w:insideH w:val="nil"/>
                <w:insideV w:val="nil"/>
              </w:tblBorders>
              <w:tblCellMar>
                <w:left w:w="0" w:type="dxa"/>
                <w:right w:w="60" w:type="dxa"/>
              </w:tblCellMar>
              <w:tblLook w:val="0000"/>
            </w:tblPr>
            <w:tblGrid>
              <w:gridCol w:w="2900"/>
              <w:gridCol w:w="6026"/>
            </w:tblGrid>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Uitvaartverzekeraar</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Polisnummer</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Levensverzekeraar</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Polisnummer</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Pensioenfonds</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2900" w:type="dxa"/>
                  <w:shd w:val="clear" w:color="auto" w:fill="F2F5F8"/>
                  <w:tcMar>
                    <w:top w:w="60" w:type="dxa"/>
                    <w:left w:w="100" w:type="dxa"/>
                    <w:bottom w:w="60" w:type="dxa"/>
                    <w:right w:w="100" w:type="dxa"/>
                  </w:tcMar>
                  <w:vAlign w:val="bottom"/>
                </w:tcPr>
                <w:p>
                  <w:pPr>
                    <w:spacing w:after="0"/>
                  </w:pPr>
                  <w:r>
                    <w:rPr>
                      <w:sz w:val="19"/>
                      <w:szCs w:val="19"/>
                    </w:rPr>
                    <w:t xml:space="preserve">Werkgever</w:t>
                  </w:r>
                </w:p>
              </w:tc>
              <w:tc>
                <w:tcPr>
                  <w:tcW w:w="602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r>
        <w:br w:type="page"/>
      </w:r>
    </w:p>
    <w:p>
      <w:pPr>
        <w:spacing w:before="200" w:after="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1F3A5F"/>
            <w:tcMar>
              <w:top w:w="140" w:type="dxa"/>
              <w:left w:w="220" w:type="dxa"/>
              <w:bottom w:w="140" w:type="dxa"/>
              <w:right w:w="220" w:type="dxa"/>
            </w:tcMar>
          </w:tcPr>
          <w:p>
            <w:pPr>
              <w:spacing w:after="0"/>
            </w:pPr>
            <w:r>
              <w:rPr>
                <w:b/>
                <w:bCs/>
                <w:color w:val="FFFFFF"/>
                <w:sz w:val="24"/>
                <w:szCs w:val="24"/>
              </w:rPr>
              <w:t xml:space="preserve">Afgehandeld</w:t>
            </w:r>
          </w:p>
        </w:tc>
      </w:tr>
    </w:tbl>
    <w:p>
      <w:pPr>
        <w:spacing w:after="160"/>
      </w:pP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00" w:type="dxa"/>
              <w:left w:w="260" w:type="dxa"/>
              <w:bottom w:w="200" w:type="dxa"/>
              <w:right w:w="260" w:type="dxa"/>
            </w:tcMar>
          </w:tcPr>
          <w:p>
            <w:pPr>
              <w:spacing w:after="70"/>
            </w:pPr>
            <w:r>
              <w:rPr>
                <w:rFonts w:ascii="Segoe UI Symbol" w:hAnsi="Segoe UI Symbol"/>
                <w:color w:val="1F3A5F"/>
                <w:sz w:val="21"/>
                <w:szCs w:val="21"/>
              </w:rPr>
              <w:t xml:space="preserve">□   </w:t>
            </w:r>
            <w:r>
              <w:rPr>
                <w:sz w:val="19"/>
                <w:szCs w:val="19"/>
              </w:rPr>
              <w:t xml:space="preserve">Arts gebeld, A-verklaring ontvangen</w:t>
            </w:r>
          </w:p>
          <w:p>
            <w:pPr>
              <w:spacing w:after="70"/>
            </w:pPr>
            <w:r>
              <w:rPr>
                <w:rFonts w:ascii="Segoe UI Symbol" w:hAnsi="Segoe UI Symbol"/>
                <w:color w:val="1F3A5F"/>
                <w:sz w:val="21"/>
                <w:szCs w:val="21"/>
              </w:rPr>
              <w:t xml:space="preserve">□   </w:t>
            </w:r>
            <w:r>
              <w:rPr>
                <w:sz w:val="19"/>
                <w:szCs w:val="19"/>
              </w:rPr>
              <w:t xml:space="preserve">Directe familie geïnformeerd</w:t>
            </w:r>
          </w:p>
          <w:p>
            <w:pPr>
              <w:spacing w:after="70"/>
            </w:pPr>
            <w:r>
              <w:rPr>
                <w:rFonts w:ascii="Segoe UI Symbol" w:hAnsi="Segoe UI Symbol"/>
                <w:color w:val="1F3A5F"/>
                <w:sz w:val="21"/>
                <w:szCs w:val="21"/>
              </w:rPr>
              <w:t xml:space="preserve">□   </w:t>
            </w:r>
            <w:r>
              <w:rPr>
                <w:sz w:val="19"/>
                <w:szCs w:val="19"/>
              </w:rPr>
              <w:t xml:space="preserve">Wilsbeschikking of codicil gezocht</w:t>
            </w:r>
          </w:p>
          <w:p>
            <w:pPr>
              <w:spacing w:after="70"/>
            </w:pPr>
            <w:r>
              <w:rPr>
                <w:rFonts w:ascii="Segoe UI Symbol" w:hAnsi="Segoe UI Symbol"/>
                <w:color w:val="1F3A5F"/>
                <w:sz w:val="21"/>
                <w:szCs w:val="21"/>
              </w:rPr>
              <w:t xml:space="preserve">□   </w:t>
            </w:r>
            <w:r>
              <w:rPr>
                <w:sz w:val="19"/>
                <w:szCs w:val="19"/>
              </w:rPr>
              <w:t xml:space="preserve">Uitvaartverzekering gecontroleerd</w:t>
            </w:r>
          </w:p>
          <w:p>
            <w:pPr>
              <w:spacing w:after="70"/>
            </w:pPr>
            <w:r>
              <w:rPr>
                <w:rFonts w:ascii="Segoe UI Symbol" w:hAnsi="Segoe UI Symbol"/>
                <w:color w:val="1F3A5F"/>
                <w:sz w:val="21"/>
                <w:szCs w:val="21"/>
              </w:rPr>
              <w:t xml:space="preserve">□   </w:t>
            </w:r>
            <w:r>
              <w:rPr>
                <w:sz w:val="19"/>
                <w:szCs w:val="19"/>
              </w:rPr>
              <w:t xml:space="preserve">Uitvaartondernemer gekozen</w:t>
            </w:r>
          </w:p>
          <w:p>
            <w:pPr>
              <w:spacing w:after="70"/>
            </w:pPr>
            <w:r>
              <w:rPr>
                <w:rFonts w:ascii="Segoe UI Symbol" w:hAnsi="Segoe UI Symbol"/>
                <w:color w:val="1F3A5F"/>
                <w:sz w:val="21"/>
                <w:szCs w:val="21"/>
              </w:rPr>
              <w:t xml:space="preserve">□   </w:t>
            </w:r>
            <w:r>
              <w:rPr>
                <w:sz w:val="19"/>
                <w:szCs w:val="19"/>
              </w:rPr>
              <w:t xml:space="preserve">Schriftelijke prijsopgave ontvangen</w:t>
            </w:r>
          </w:p>
          <w:p>
            <w:pPr>
              <w:spacing w:after="70"/>
            </w:pPr>
            <w:r>
              <w:rPr>
                <w:rFonts w:ascii="Segoe UI Symbol" w:hAnsi="Segoe UI Symbol"/>
                <w:color w:val="1F3A5F"/>
                <w:sz w:val="21"/>
                <w:szCs w:val="21"/>
              </w:rPr>
              <w:t xml:space="preserve">□   </w:t>
            </w:r>
            <w:r>
              <w:rPr>
                <w:sz w:val="19"/>
                <w:szCs w:val="19"/>
              </w:rPr>
              <w:t xml:space="preserve">Aangifte gedaan bij de gemeente</w:t>
            </w:r>
          </w:p>
          <w:p>
            <w:pPr>
              <w:spacing w:after="70"/>
            </w:pPr>
            <w:r>
              <w:rPr>
                <w:rFonts w:ascii="Segoe UI Symbol" w:hAnsi="Segoe UI Symbol"/>
                <w:color w:val="1F3A5F"/>
                <w:sz w:val="21"/>
                <w:szCs w:val="21"/>
              </w:rPr>
              <w:t xml:space="preserve">□   </w:t>
            </w:r>
            <w:r>
              <w:rPr>
                <w:sz w:val="19"/>
                <w:szCs w:val="19"/>
              </w:rPr>
              <w:t xml:space="preserve">Meerdere afschriften akte aangevraagd</w:t>
            </w:r>
          </w:p>
          <w:p>
            <w:pPr>
              <w:spacing w:after="70"/>
            </w:pPr>
            <w:r>
              <w:rPr>
                <w:rFonts w:ascii="Segoe UI Symbol" w:hAnsi="Segoe UI Symbol"/>
                <w:color w:val="1F3A5F"/>
                <w:sz w:val="21"/>
                <w:szCs w:val="21"/>
              </w:rPr>
              <w:t xml:space="preserve">□   </w:t>
            </w:r>
            <w:r>
              <w:rPr>
                <w:sz w:val="19"/>
                <w:szCs w:val="19"/>
              </w:rPr>
              <w:t xml:space="preserve">Datum en locatie uitvaart vastgelegd</w:t>
            </w:r>
          </w:p>
        </w:tc>
      </w:tr>
    </w:tbl>
    <w:p>
      <w:pPr>
        <w:spacing w:after="200"/>
      </w:pPr>
    </w:p>
    <w:p>
      <w:pPr>
        <w:spacing w:before="160" w:after="60"/>
      </w:pPr>
      <w:r>
        <w:rPr>
          <w:b/>
          <w:bCs/>
          <w:color w:val="5A6B80"/>
          <w:spacing w:val="40"/>
          <w:sz w:val="15"/>
          <w:szCs w:val="15"/>
        </w:rPr>
        <w:t>AANTEKENINGEN</w:t>
      </w:r>
    </w:p>
    <w:tbl>
      <w:tblPr>
        <w:tblW w:w="9426" w:type="dxa"/>
        <w:tblBorders>
          <w:top w:val="nil"/>
          <w:left w:val="nil"/>
          <w:bottom w:val="nil"/>
          <w:right w:val="nil"/>
          <w:insideH w:val="nil"/>
          <w:insideV w:val="nil"/>
        </w:tblBorders>
        <w:tblCellMar>
          <w:left w:w="0" w:type="dxa"/>
          <w:right w:w="0" w:type="dxa"/>
        </w:tblCellMar>
        <w:tblLook w:val="0000"/>
      </w:tblPr>
      <w:tblGrid>
        <w:gridCol w:w="9426"/>
      </w:tblGrid>
      <w:tr>
        <w:tc>
          <w:tcPr>
            <w:tcW w:w="9426" w:type="dxa"/>
            <w:shd w:val="clear" w:color="auto" w:fill="F2F5F8"/>
            <w:tcMar>
              <w:top w:w="220" w:type="dxa"/>
              <w:left w:w="260" w:type="dxa"/>
              <w:bottom w:w="220" w:type="dxa"/>
              <w:right w:w="260" w:type="dxa"/>
            </w:tcMar>
          </w:tcPr>
          <w:tbl>
            <w:tblPr>
              <w:tblW w:w="8906" w:type="dxa"/>
              <w:tblBorders>
                <w:top w:val="nil"/>
                <w:left w:val="nil"/>
                <w:bottom w:val="nil"/>
                <w:right w:val="nil"/>
                <w:insideH w:val="nil"/>
                <w:insideV w:val="nil"/>
              </w:tblBorders>
              <w:tblLook w:val="0000"/>
            </w:tblPr>
            <w:tblGrid>
              <w:gridCol w:w="8906"/>
            </w:tblGrid>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r>
              <w:trPr>
                <w:trHeight w:val="400"/>
              </w:trPr>
              <w:tc>
                <w:tcPr>
                  <w:tcW w:w="8906" w:type="dxa"/>
                  <w:tcBorders>
                    <w:top w:val="nil"/>
                    <w:left w:val="nil"/>
                    <w:bottom w:val="single" w:sz="4" w:space="0" w:color="A9B7C6"/>
                    <w:right w:val="nil"/>
                  </w:tcBorders>
                  <w:shd w:val="clear" w:color="auto" w:fill="F2F5F8"/>
                  <w:tcMar>
                    <w:top w:w="60" w:type="dxa"/>
                    <w:left w:w="100" w:type="dxa"/>
                    <w:bottom w:w="60" w:type="dxa"/>
                    <w:right w:w="100" w:type="dxa"/>
                  </w:tcMar>
                  <w:vAlign w:val="bottom"/>
                </w:tcPr>
                <w:p>
                  <w:pPr>
                    <w:spacing w:after="0"/>
                  </w:pPr>
                </w:p>
              </w:tc>
            </w:tr>
          </w:tbl>
        </w:tc>
      </w:tr>
    </w:tbl>
    <w:p>
      <w:pPr>
        <w:spacing w:after="200"/>
      </w:pPr>
    </w:p>
    <w:p>
      <w:pPr>
        <w:pBdr>
          <w:top w:val="single" w:sz="4" w:space="8" w:color="C9D3DE"/>
        </w:pBdr>
        <w:spacing w:before="360" w:after="0" w:line="264" w:lineRule="auto"/>
      </w:pPr>
      <w:r>
        <w:rPr>
          <w:color w:val="5A6B80"/>
          <w:sz w:val="16"/>
          <w:szCs w:val="16"/>
        </w:rPr>
        <w:t xml:space="preserve">Dit document is kosteloos beschikbaar gesteld door Vergelijker Uitvaart. U kunt het vrij gebruiken, afdrukken en delen. Aan de inhoud kunnen geen rechten worden ontleend; raadpleeg bij twijfel een notaris of juridisch adviseur.</w:t>
      </w:r>
    </w:p>
    <w:sectPr w:rsidR="006F72F3">
      <w:headerReference w:type="default" r:id="rId9"/>
      <w:footerReference w:type="default" r:id="rId10"/>
      <w:pgSz w:w="11906" w:h="16838"/>
      <w:pgMar w:top="1100" w:right="1240" w:bottom="1100" w:left="12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12CE4D" w14:textId="77777777" w:rsidR="001450EF" w:rsidRDefault="001450EF">
      <w:r>
        <w:separator/>
      </w:r>
    </w:p>
  </w:endnote>
  <w:endnote w:type="continuationSeparator" w:id="0">
    <w:p w14:paraId="2A1DD78A" w14:textId="77777777" w:rsidR="001450EF" w:rsidRDefault="0014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F0E35E" w14:textId="77777777" w:rsidR="006F72F3" w:rsidRDefault="00000000">
    <w:pPr>
      <w:pBdr>
        <w:top w:val="single" w:sz="4" w:space="0" w:color="C9D3DE"/>
      </w:pBdr>
      <w:spacing w:before="60"/>
      <w:jc w:val="center"/>
    </w:pPr>
    <w:proofErr w:type="gramStart"/>
    <w:r>
      <w:rPr>
        <w:color w:val="1F3A5F"/>
        <w:sz w:val="16"/>
        <w:szCs w:val="16"/>
      </w:rPr>
      <w:t>www.vergelijkeruitvaart.nl</w:t>
    </w:r>
    <w:proofErr w:type="gramEnd"/>
    <w:r>
      <w:rPr>
        <w:sz w:val="16"/>
        <w:szCs w:val="16"/>
      </w:rPr>
      <w:t xml:space="preserve">     |     Pagina </w:t>
    </w:r>
    <w:r>
      <w:rPr>
        <w:sz w:val="16"/>
        <w:szCs w:val="16"/>
      </w:rPr>
      <w:fldChar w:fldCharType="begin"/>
    </w:r>
    <w:r>
      <w:rPr>
        <w:sz w:val="16"/>
        <w:szCs w:val="16"/>
      </w:rPr>
      <w:instrText>PAGE</w:instrText>
    </w:r>
    <w:r>
      <w:rPr>
        <w:sz w:val="16"/>
        <w:szCs w:val="16"/>
      </w:rPr>
      <w:fldChar w:fldCharType="separate"/>
    </w:r>
    <w:r w:rsidR="00E57060">
      <w:rPr>
        <w:noProof/>
        <w:sz w:val="16"/>
        <w:szCs w:val="16"/>
      </w:rPr>
      <w:t>1</w:t>
    </w:r>
    <w:r>
      <w:rPr>
        <w:sz w:val="16"/>
        <w:szCs w:val="16"/>
      </w:rPr>
      <w:fldChar w:fldCharType="end"/>
    </w:r>
    <w:r>
      <w:rPr>
        <w:sz w:val="16"/>
        <w:szCs w:val="16"/>
      </w:rPr>
      <w:t xml:space="preserve"> van </w:t>
    </w:r>
    <w:r>
      <w:rPr>
        <w:sz w:val="16"/>
        <w:szCs w:val="16"/>
      </w:rPr>
      <w:fldChar w:fldCharType="begin"/>
    </w:r>
    <w:r>
      <w:rPr>
        <w:sz w:val="16"/>
        <w:szCs w:val="16"/>
      </w:rPr>
      <w:instrText>NUMPAGES</w:instrText>
    </w:r>
    <w:r>
      <w:rPr>
        <w:sz w:val="16"/>
        <w:szCs w:val="16"/>
      </w:rPr>
      <w:fldChar w:fldCharType="separate"/>
    </w:r>
    <w:r w:rsidR="00E57060">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ED1550" w14:textId="77777777" w:rsidR="001450EF" w:rsidRDefault="001450EF">
      <w:r>
        <w:separator/>
      </w:r>
    </w:p>
  </w:footnote>
  <w:footnote w:type="continuationSeparator" w:id="0">
    <w:p w14:paraId="2E24672C" w14:textId="77777777" w:rsidR="001450EF" w:rsidRDefault="00145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4F5C3A" w14:textId="77777777" w:rsidR="006F72F3" w:rsidRDefault="00000000">
    <w:pPr>
      <w:pBdr>
        <w:bottom w:val="single" w:sz="4" w:space="0" w:color="C9D3DE"/>
      </w:pBdr>
      <w:jc w:val="right"/>
    </w:pPr>
    <w:proofErr w:type="spellStart"/>
    <w:r>
      <w:rPr>
        <w:b/>
        <w:bCs/>
        <w:color w:val="1F3A5F"/>
        <w:sz w:val="16"/>
        <w:szCs w:val="16"/>
      </w:rPr>
      <w:t>Vergelijker</w:t>
    </w:r>
    <w:proofErr w:type="spellEnd"/>
    <w:r>
      <w:rPr>
        <w:b/>
        <w:bCs/>
        <w:color w:val="1F3A5F"/>
        <w:sz w:val="16"/>
        <w:szCs w:val="16"/>
      </w:rPr>
      <w:t xml:space="preserve"> Uitvaart B.V.  </w:t>
    </w:r>
    <w:proofErr w:type="gramStart"/>
    <w:r>
      <w:rPr>
        <w:b/>
        <w:bCs/>
        <w:color w:val="1F3A5F"/>
        <w:sz w:val="16"/>
        <w:szCs w:val="16"/>
      </w:rPr>
      <w:t xml:space="preserve">·  </w:t>
    </w:r>
    <w:r>
      <w:rPr>
        <w:sz w:val="16"/>
        <w:szCs w:val="16"/>
      </w:rPr>
      <w:t>Checklist bij een overlijden</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452C42"/>
    <w:multiLevelType w:val="hybridMultilevel"/>
    <w:tmpl w:val="4F1C6848"/>
    <w:lvl w:ilvl="0" w:tplc="EF5E9030">
      <w:start w:val="1"/>
      <w:numFmt w:val="decimal"/>
      <w:lvlText w:val="%1."/>
      <w:lvlJc w:val="left"/>
      <w:pPr>
        <w:ind w:left="460" w:hanging="300"/>
      </w:pPr>
    </w:lvl>
    <w:lvl w:ilvl="1" w:tplc="F0487AE8">
      <w:numFmt w:val="decimal"/>
      <w:lvlText w:val=""/>
      <w:lvlJc w:val="left"/>
    </w:lvl>
    <w:lvl w:ilvl="2" w:tplc="883009A2">
      <w:numFmt w:val="decimal"/>
      <w:lvlText w:val=""/>
      <w:lvlJc w:val="left"/>
    </w:lvl>
    <w:lvl w:ilvl="3" w:tplc="D9DED20E">
      <w:numFmt w:val="decimal"/>
      <w:lvlText w:val=""/>
      <w:lvlJc w:val="left"/>
    </w:lvl>
    <w:lvl w:ilvl="4" w:tplc="18863C20">
      <w:numFmt w:val="decimal"/>
      <w:lvlText w:val=""/>
      <w:lvlJc w:val="left"/>
    </w:lvl>
    <w:lvl w:ilvl="5" w:tplc="E6AACD66">
      <w:numFmt w:val="decimal"/>
      <w:lvlText w:val=""/>
      <w:lvlJc w:val="left"/>
    </w:lvl>
    <w:lvl w:ilvl="6" w:tplc="7EECB948">
      <w:numFmt w:val="decimal"/>
      <w:lvlText w:val=""/>
      <w:lvlJc w:val="left"/>
    </w:lvl>
    <w:lvl w:ilvl="7" w:tplc="ABE4F976">
      <w:numFmt w:val="decimal"/>
      <w:lvlText w:val=""/>
      <w:lvlJc w:val="left"/>
    </w:lvl>
    <w:lvl w:ilvl="8" w:tplc="EAF446CC">
      <w:numFmt w:val="decimal"/>
      <w:lvlText w:val=""/>
      <w:lvlJc w:val="left"/>
    </w:lvl>
  </w:abstractNum>
  <w:abstractNum w:abstractNumId="1" w15:restartNumberingAfterBreak="0">
    <w:nsid w:val="3B90312D"/>
    <w:multiLevelType w:val="hybridMultilevel"/>
    <w:tmpl w:val="6E1A5BF8"/>
    <w:lvl w:ilvl="0" w:tplc="C714D142">
      <w:start w:val="1"/>
      <w:numFmt w:val="bullet"/>
      <w:lvlText w:val="•"/>
      <w:lvlJc w:val="left"/>
      <w:pPr>
        <w:ind w:left="460" w:hanging="260"/>
      </w:pPr>
    </w:lvl>
    <w:lvl w:ilvl="1" w:tplc="4FB67DBA">
      <w:numFmt w:val="decimal"/>
      <w:lvlText w:val=""/>
      <w:lvlJc w:val="left"/>
    </w:lvl>
    <w:lvl w:ilvl="2" w:tplc="C332EE90">
      <w:numFmt w:val="decimal"/>
      <w:lvlText w:val=""/>
      <w:lvlJc w:val="left"/>
    </w:lvl>
    <w:lvl w:ilvl="3" w:tplc="90E642D6">
      <w:numFmt w:val="decimal"/>
      <w:lvlText w:val=""/>
      <w:lvlJc w:val="left"/>
    </w:lvl>
    <w:lvl w:ilvl="4" w:tplc="8CDA2F5E">
      <w:numFmt w:val="decimal"/>
      <w:lvlText w:val=""/>
      <w:lvlJc w:val="left"/>
    </w:lvl>
    <w:lvl w:ilvl="5" w:tplc="90662F04">
      <w:numFmt w:val="decimal"/>
      <w:lvlText w:val=""/>
      <w:lvlJc w:val="left"/>
    </w:lvl>
    <w:lvl w:ilvl="6" w:tplc="235E4B8A">
      <w:numFmt w:val="decimal"/>
      <w:lvlText w:val=""/>
      <w:lvlJc w:val="left"/>
    </w:lvl>
    <w:lvl w:ilvl="7" w:tplc="49F0E0E4">
      <w:numFmt w:val="decimal"/>
      <w:lvlText w:val=""/>
      <w:lvlJc w:val="left"/>
    </w:lvl>
    <w:lvl w:ilvl="8" w:tplc="15FCB85E">
      <w:numFmt w:val="decimal"/>
      <w:lvlText w:val=""/>
      <w:lvlJc w:val="left"/>
    </w:lvl>
  </w:abstractNum>
  <w:abstractNum w:abstractNumId="2" w15:restartNumberingAfterBreak="0">
    <w:nsid w:val="584D3AD0"/>
    <w:multiLevelType w:val="hybridMultilevel"/>
    <w:tmpl w:val="FE90A4B0"/>
    <w:lvl w:ilvl="0" w:tplc="657824C2">
      <w:start w:val="1"/>
      <w:numFmt w:val="bullet"/>
      <w:lvlText w:val="●"/>
      <w:lvlJc w:val="left"/>
      <w:pPr>
        <w:ind w:left="720" w:hanging="360"/>
      </w:pPr>
    </w:lvl>
    <w:lvl w:ilvl="1" w:tplc="6E40EF5E">
      <w:start w:val="1"/>
      <w:numFmt w:val="bullet"/>
      <w:lvlText w:val="○"/>
      <w:lvlJc w:val="left"/>
      <w:pPr>
        <w:ind w:left="1440" w:hanging="360"/>
      </w:pPr>
    </w:lvl>
    <w:lvl w:ilvl="2" w:tplc="B2A2804E">
      <w:start w:val="1"/>
      <w:numFmt w:val="bullet"/>
      <w:lvlText w:val="■"/>
      <w:lvlJc w:val="left"/>
      <w:pPr>
        <w:ind w:left="2160" w:hanging="360"/>
      </w:pPr>
    </w:lvl>
    <w:lvl w:ilvl="3" w:tplc="AF6C6C5E">
      <w:start w:val="1"/>
      <w:numFmt w:val="bullet"/>
      <w:lvlText w:val="●"/>
      <w:lvlJc w:val="left"/>
      <w:pPr>
        <w:ind w:left="2880" w:hanging="360"/>
      </w:pPr>
    </w:lvl>
    <w:lvl w:ilvl="4" w:tplc="DEE23B34">
      <w:start w:val="1"/>
      <w:numFmt w:val="bullet"/>
      <w:lvlText w:val="○"/>
      <w:lvlJc w:val="left"/>
      <w:pPr>
        <w:ind w:left="3600" w:hanging="360"/>
      </w:pPr>
    </w:lvl>
    <w:lvl w:ilvl="5" w:tplc="8500C116">
      <w:start w:val="1"/>
      <w:numFmt w:val="bullet"/>
      <w:lvlText w:val="■"/>
      <w:lvlJc w:val="left"/>
      <w:pPr>
        <w:ind w:left="4320" w:hanging="360"/>
      </w:pPr>
    </w:lvl>
    <w:lvl w:ilvl="6" w:tplc="E0D601BA">
      <w:start w:val="1"/>
      <w:numFmt w:val="bullet"/>
      <w:lvlText w:val="●"/>
      <w:lvlJc w:val="left"/>
      <w:pPr>
        <w:ind w:left="5040" w:hanging="360"/>
      </w:pPr>
    </w:lvl>
    <w:lvl w:ilvl="7" w:tplc="B3228C0A">
      <w:start w:val="1"/>
      <w:numFmt w:val="bullet"/>
      <w:lvlText w:val="●"/>
      <w:lvlJc w:val="left"/>
      <w:pPr>
        <w:ind w:left="5760" w:hanging="360"/>
      </w:pPr>
    </w:lvl>
    <w:lvl w:ilvl="8" w:tplc="00C85584">
      <w:start w:val="1"/>
      <w:numFmt w:val="bullet"/>
      <w:lvlText w:val="●"/>
      <w:lvlJc w:val="left"/>
      <w:pPr>
        <w:ind w:left="6480" w:hanging="360"/>
      </w:pPr>
    </w:lvl>
  </w:abstractNum>
  <w:abstractNum w:abstractNumId="3" w15:restartNumberingAfterBreak="0">
    <w:nsid w:val="5D91537E"/>
    <w:multiLevelType w:val="hybridMultilevel"/>
    <w:tmpl w:val="89CE13DA"/>
    <w:lvl w:ilvl="0" w:tplc="CE8EDD4A">
      <w:start w:val="1"/>
      <w:numFmt w:val="decimal"/>
      <w:lvlText w:val="%1."/>
      <w:lvlJc w:val="left"/>
      <w:pPr>
        <w:ind w:left="460" w:hanging="300"/>
      </w:pPr>
    </w:lvl>
    <w:lvl w:ilvl="1" w:tplc="F580CFBE">
      <w:numFmt w:val="decimal"/>
      <w:lvlText w:val=""/>
      <w:lvlJc w:val="left"/>
    </w:lvl>
    <w:lvl w:ilvl="2" w:tplc="3EB29B44">
      <w:numFmt w:val="decimal"/>
      <w:lvlText w:val=""/>
      <w:lvlJc w:val="left"/>
    </w:lvl>
    <w:lvl w:ilvl="3" w:tplc="0EAAE4F0">
      <w:numFmt w:val="decimal"/>
      <w:lvlText w:val=""/>
      <w:lvlJc w:val="left"/>
    </w:lvl>
    <w:lvl w:ilvl="4" w:tplc="5CCEC77E">
      <w:numFmt w:val="decimal"/>
      <w:lvlText w:val=""/>
      <w:lvlJc w:val="left"/>
    </w:lvl>
    <w:lvl w:ilvl="5" w:tplc="C038AAF0">
      <w:numFmt w:val="decimal"/>
      <w:lvlText w:val=""/>
      <w:lvlJc w:val="left"/>
    </w:lvl>
    <w:lvl w:ilvl="6" w:tplc="4E0822E0">
      <w:numFmt w:val="decimal"/>
      <w:lvlText w:val=""/>
      <w:lvlJc w:val="left"/>
    </w:lvl>
    <w:lvl w:ilvl="7" w:tplc="4F34E89E">
      <w:numFmt w:val="decimal"/>
      <w:lvlText w:val=""/>
      <w:lvlJc w:val="left"/>
    </w:lvl>
    <w:lvl w:ilvl="8" w:tplc="8F7C2294">
      <w:numFmt w:val="decimal"/>
      <w:lvlText w:val=""/>
      <w:lvlJc w:val="left"/>
    </w:lvl>
  </w:abstractNum>
  <w:abstractNum w:abstractNumId="4" w15:restartNumberingAfterBreak="0">
    <w:nsid w:val="6ADD60AE"/>
    <w:multiLevelType w:val="hybridMultilevel"/>
    <w:tmpl w:val="82A21AC0"/>
    <w:lvl w:ilvl="0" w:tplc="9C92289C">
      <w:start w:val="1"/>
      <w:numFmt w:val="decimal"/>
      <w:lvlText w:val="%1."/>
      <w:lvlJc w:val="left"/>
      <w:pPr>
        <w:ind w:left="460" w:hanging="300"/>
      </w:pPr>
    </w:lvl>
    <w:lvl w:ilvl="1" w:tplc="4EF8EA16">
      <w:numFmt w:val="decimal"/>
      <w:lvlText w:val=""/>
      <w:lvlJc w:val="left"/>
    </w:lvl>
    <w:lvl w:ilvl="2" w:tplc="E65031BC">
      <w:numFmt w:val="decimal"/>
      <w:lvlText w:val=""/>
      <w:lvlJc w:val="left"/>
    </w:lvl>
    <w:lvl w:ilvl="3" w:tplc="852417BC">
      <w:numFmt w:val="decimal"/>
      <w:lvlText w:val=""/>
      <w:lvlJc w:val="left"/>
    </w:lvl>
    <w:lvl w:ilvl="4" w:tplc="1098DC14">
      <w:numFmt w:val="decimal"/>
      <w:lvlText w:val=""/>
      <w:lvlJc w:val="left"/>
    </w:lvl>
    <w:lvl w:ilvl="5" w:tplc="7A1AADB8">
      <w:numFmt w:val="decimal"/>
      <w:lvlText w:val=""/>
      <w:lvlJc w:val="left"/>
    </w:lvl>
    <w:lvl w:ilvl="6" w:tplc="F39EACEA">
      <w:numFmt w:val="decimal"/>
      <w:lvlText w:val=""/>
      <w:lvlJc w:val="left"/>
    </w:lvl>
    <w:lvl w:ilvl="7" w:tplc="0FC0AFFE">
      <w:numFmt w:val="decimal"/>
      <w:lvlText w:val=""/>
      <w:lvlJc w:val="left"/>
    </w:lvl>
    <w:lvl w:ilvl="8" w:tplc="56AEB30A">
      <w:numFmt w:val="decimal"/>
      <w:lvlText w:val=""/>
      <w:lvlJc w:val="left"/>
    </w:lvl>
  </w:abstractNum>
  <w:num w:numId="1" w16cid:durableId="1769885044">
    <w:abstractNumId w:val="2"/>
    <w:lvlOverride w:ilvl="0">
      <w:startOverride w:val="1"/>
    </w:lvlOverride>
  </w:num>
  <w:num w:numId="2" w16cid:durableId="1143276833">
    <w:abstractNumId w:val="4"/>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2F3"/>
    <w:rsid w:val="001450EF"/>
    <w:rsid w:val="00631E4C"/>
    <w:rsid w:val="006F72F3"/>
    <w:rsid w:val="00AF68A0"/>
    <w:rsid w:val="00E570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7EC526"/>
  <w15:docId w15:val="{DECA2C08-B1AD-A441-855B-F166785E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444444"/>
        <w:sz w:val="21"/>
        <w:szCs w:val="21"/>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vergelijkeruitvaart.nl" TargetMode="External"/><Relationship Id="rId3" Type="http://schemas.openxmlformats.org/officeDocument/2006/relationships/settings" Target="settings.xml"/><Relationship Id="rId7" Type="http://schemas.openxmlformats.org/officeDocument/2006/relationships/hyperlink" Target="mailto:Info@vergelijkeruitvaar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3233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Hamad Jamshaid</cp:lastModifiedBy>
  <cp:revision>2</cp:revision>
  <dcterms:created xsi:type="dcterms:W3CDTF">2026-07-15T11:25:00Z</dcterms:created>
  <dcterms:modified xsi:type="dcterms:W3CDTF">2026-07-15T11:25:00Z</dcterms:modified>
</cp:coreProperties>
</file>