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62C47"/>
            <w:tcMar>
              <w:top w:w="360" w:type="dxa"/>
              <w:left w:w="340" w:type="dxa"/>
              <w:bottom w:w="360" w:type="dxa"/>
              <w:right w:w="340" w:type="dxa"/>
            </w:tcMar>
          </w:tcPr>
          <w:p>
            <w:pPr>
              <w:spacing w:after="60"/>
            </w:pPr>
            <w:r>
              <w:rPr>
                <w:b/>
                <w:bCs/>
                <w:color w:val="FFFFFF"/>
                <w:spacing w:val="60"/>
                <w:sz w:val="16"/>
                <w:szCs w:val="16"/>
              </w:rPr>
              <w:t>VERGELIJKER UITVAART</w:t>
            </w:r>
          </w:p>
          <w:p>
            <w:pPr>
              <w:spacing w:after="40"/>
            </w:pPr>
            <w:r>
              <w:rPr>
                <w:b/>
                <w:bCs/>
                <w:color w:val="FFFFFF"/>
                <w:sz w:val="48"/>
                <w:szCs w:val="48"/>
              </w:rPr>
              <w:t>Checklist na de uitvaart</w:t>
            </w:r>
          </w:p>
          <w:p>
            <w:pPr>
              <w:spacing w:after="0"/>
            </w:pPr>
            <w:r>
              <w:rPr>
                <w:color w:val="C9D9EA"/>
                <w:sz w:val="20"/>
                <w:szCs w:val="20"/>
              </w:rPr>
              <w:t xml:space="preserve">Wat er in de weken en maanden daarna geregeld moet worden</w:t>
            </w:r>
          </w:p>
        </w:tc>
      </w:tr>
    </w:tbl>
    <w:p>
      <w:pPr>
        <w:spacing w:after="240"/>
      </w:pPr>
    </w:p>
    <w:tbl>
      <w:tblPr>
        <w:tblW w:w="9426" w:type="dxa"/>
        <w:tblBorders>
          <w:top w:val="nil"/>
          <w:left w:val="single" w:sz="18" w:space="0" w:color="1F3A5F"/>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0"/>
            </w:pPr>
            <w:r>
              <w:rPr>
                <w:color w:val="1F3A5F"/>
                <w:sz w:val="19"/>
                <w:szCs w:val="19"/>
              </w:rPr>
              <w:t xml:space="preserve">Dit document is bedoeld als hulpmiddel voor nabestaanden. Niets hiervan heeft haast in de eerste week. Werk het rustig af, in uw eigen tempo, en vink af wat gedaan is.</w:t>
            </w:r>
          </w:p>
        </w:tc>
      </w:tr>
    </w:tbl>
    <w:p>
      <w:pPr>
        <w:spacing w:after="200"/>
      </w:pPr>
    </w:p>
    <w:p>
      <w:pPr>
        <w:spacing w:after="120" w:line="288" w:lineRule="auto"/>
      </w:pPr>
      <w:r>
        <w:rPr>
          <w:sz w:val="20"/>
          <w:szCs w:val="20"/>
        </w:rPr>
        <w:t xml:space="preserve">Als de uitvaart achter de rug is, begint het administratieve deel. Dat voelt vaak zwaarder dan het is, omdat het lang doorloopt en steeds nieuwe post oplevert. Hieronder staat wat er moet gebeuren en in welke volgorde dat het handigst is.</w:t>
      </w:r>
    </w:p>
    <w:p>
      <w:pPr>
        <w:spacing w:after="200" w:line="288" w:lineRule="auto"/>
      </w:pPr>
      <w:r>
        <w:rPr>
          <w:sz w:val="20"/>
          <w:szCs w:val="20"/>
        </w:rPr>
        <w:t xml:space="preserve">Een deel gaat vanzelf: de gemeente geeft het overlijden door aan de Belastingdienst, de Sociale Verzekeringsbank, het UWV en het pensioenregister. Al het andere doet u zelf.</w:t>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Eerst: de nalatenschap</w:t>
            </w:r>
          </w:p>
        </w:tc>
      </w:tr>
    </w:tbl>
    <w:p>
      <w:pPr>
        <w:spacing w:after="160"/>
      </w:pP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1</w:t>
            </w:r>
          </w:p>
        </w:tc>
        <w:tc>
          <w:tcPr>
            <w:tcW w:w="8906" w:type="dxa"/>
            <w:tcMar>
              <w:top w:w="60" w:type="dxa"/>
              <w:left w:w="200" w:type="dxa"/>
              <w:bottom w:w="60" w:type="dxa"/>
              <w:right w:w="0" w:type="dxa"/>
            </w:tcMar>
            <w:vAlign w:val="center"/>
          </w:tcPr>
          <w:p>
            <w:pPr>
              <w:spacing w:after="0"/>
            </w:pPr>
            <w:r>
              <w:rPr>
                <w:b/>
                <w:bCs/>
                <w:color w:val="1F3A5F"/>
                <w:sz w:val="23"/>
                <w:szCs w:val="23"/>
              </w:rPr>
              <w:t xml:space="preserve">Controleer of er een testament is</w:t>
            </w:r>
          </w:p>
        </w:tc>
      </w:tr>
    </w:tbl>
    <w:p>
      <w:pPr>
        <w:spacing w:after="80"/>
      </w:pPr>
    </w:p>
    <w:p>
      <w:pPr>
        <w:spacing w:after="120" w:line="288" w:lineRule="auto"/>
      </w:pPr>
      <w:r>
        <w:rPr>
          <w:sz w:val="20"/>
          <w:szCs w:val="20"/>
        </w:rPr>
        <w:t xml:space="preserve">Via het Centraal Testamentenregister kunt u kosteloos nagaan óf er een testament is en bij welke notaris het ligt. Het register vertelt niet wat erin staat — daarvoor gaat u naar de betreffende notaris.</w:t>
      </w:r>
    </w:p>
    <w:p>
      <w:pPr>
        <w:spacing w:after="120" w:line="288" w:lineRule="auto"/>
      </w:pPr>
      <w:r>
        <w:rPr>
          <w:sz w:val="20"/>
          <w:szCs w:val="20"/>
        </w:rPr>
        <w:t xml:space="preserve">Is er geen testament, dan bepaalt de wet wie de erfgenamen zijn.</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2</w:t>
            </w:r>
          </w:p>
        </w:tc>
        <w:tc>
          <w:tcPr>
            <w:tcW w:w="8906" w:type="dxa"/>
            <w:tcMar>
              <w:top w:w="60" w:type="dxa"/>
              <w:left w:w="200" w:type="dxa"/>
              <w:bottom w:w="60" w:type="dxa"/>
              <w:right w:w="0" w:type="dxa"/>
            </w:tcMar>
            <w:vAlign w:val="center"/>
          </w:tcPr>
          <w:p>
            <w:pPr>
              <w:spacing w:after="0"/>
            </w:pPr>
            <w:r>
              <w:rPr>
                <w:b/>
                <w:bCs/>
                <w:color w:val="1F3A5F"/>
                <w:sz w:val="23"/>
                <w:szCs w:val="23"/>
              </w:rPr>
              <w:t xml:space="preserve">Beslis: aanvaarden, beneficiair aanvaarden of verwerpen</w:t>
            </w:r>
          </w:p>
        </w:tc>
      </w:tr>
    </w:tbl>
    <w:p>
      <w:pPr>
        <w:spacing w:after="80"/>
      </w:pPr>
    </w:p>
    <w:p>
      <w:pPr>
        <w:spacing w:after="80" w:line="288" w:lineRule="auto"/>
      </w:pPr>
      <w:r>
        <w:rPr>
          <w:sz w:val="20"/>
          <w:szCs w:val="20"/>
        </w:rPr>
        <w:t xml:space="preserve">Dit is de belangrijkste beslissing die u neemt, en de enige die u niet kunt terugdraaien.</w:t>
      </w:r>
    </w:p>
    <w:tbl>
      <w:tblPr>
        <w:tblW w:w="9426" w:type="dxa"/>
        <w:tblBorders>
          <w:top w:val="nil"/>
          <w:left w:val="nil"/>
          <w:bottom w:val="single" w:sz="4" w:space="0" w:color="C9D3DE"/>
          <w:right w:val="nil"/>
          <w:insideH w:val="single" w:sz="4" w:space="0" w:color="C9D3DE"/>
          <w:insideV w:val="nil"/>
        </w:tblBorders>
        <w:tblCellMar>
          <w:left w:w="10" w:type="dxa"/>
          <w:right w:w="10" w:type="dxa"/>
        </w:tblCellMar>
        <w:tblLook w:val="04A0" w:firstRow="1" w:lastRow="0" w:firstColumn="0" w:lastColumn="0" w:noHBand="0" w:noVBand="1"/>
      </w:tblPr>
      <w:tblGrid>
        <w:gridCol w:w="1900"/>
        <w:gridCol w:w="4400"/>
        <w:gridCol w:w="3126"/>
      </w:tblGrid>
      <w:tr>
        <w:trPr>
          <w:tblHeader/>
        </w:trPr>
        <w:tc>
          <w:tcPr>
            <w:tcW w:w="1900" w:type="dxa"/>
            <w:shd w:val="clear" w:color="auto" w:fill="1F3A5F"/>
            <w:tcMar>
              <w:top w:w="60" w:type="dxa"/>
              <w:left w:w="100" w:type="dxa"/>
              <w:bottom w:w="60" w:type="dxa"/>
              <w:right w:w="100" w:type="dxa"/>
            </w:tcMar>
          </w:tcPr>
          <w:p>
            <w:pPr>
              <w:spacing w:after="0"/>
            </w:pPr>
            <w:r>
              <w:rPr>
                <w:b/>
                <w:bCs/>
                <w:color w:val="FFFFFF"/>
                <w:sz w:val="17"/>
                <w:szCs w:val="17"/>
              </w:rPr>
              <w:t xml:space="preserve">Keuze</w:t>
            </w:r>
          </w:p>
        </w:tc>
        <w:tc>
          <w:tcPr>
            <w:tcW w:w="4400" w:type="dxa"/>
            <w:shd w:val="clear" w:color="auto" w:fill="1F3A5F"/>
            <w:tcMar>
              <w:top w:w="60" w:type="dxa"/>
              <w:left w:w="100" w:type="dxa"/>
              <w:bottom w:w="60" w:type="dxa"/>
              <w:right w:w="100" w:type="dxa"/>
            </w:tcMar>
          </w:tcPr>
          <w:p>
            <w:pPr>
              <w:spacing w:after="0"/>
            </w:pPr>
            <w:r>
              <w:rPr>
                <w:b/>
                <w:bCs/>
                <w:color w:val="FFFFFF"/>
                <w:sz w:val="17"/>
                <w:szCs w:val="17"/>
              </w:rPr>
              <w:t xml:space="preserve">Wat het betekent</w:t>
            </w:r>
          </w:p>
        </w:tc>
        <w:tc>
          <w:tcPr>
            <w:tcW w:w="3126" w:type="dxa"/>
            <w:shd w:val="clear" w:color="auto" w:fill="1F3A5F"/>
            <w:tcMar>
              <w:top w:w="60" w:type="dxa"/>
              <w:left w:w="100" w:type="dxa"/>
              <w:bottom w:w="60" w:type="dxa"/>
              <w:right w:w="100" w:type="dxa"/>
            </w:tcMar>
          </w:tcPr>
          <w:p>
            <w:pPr>
              <w:spacing w:after="0"/>
            </w:pPr>
            <w:r>
              <w:rPr>
                <w:b/>
                <w:bCs/>
                <w:color w:val="FFFFFF"/>
                <w:sz w:val="17"/>
                <w:szCs w:val="17"/>
              </w:rPr>
              <w:t xml:space="preserve">Wanneer verstandig</w:t>
            </w:r>
          </w:p>
        </w:tc>
      </w:tr>
      <w:tr>
        <w:tc>
          <w:tcPr>
            <w:tcW w:w="1900" w:type="dxa"/>
            <w:shd w:val="clear" w:color="auto" w:fill="FFFFFF"/>
            <w:tcMar>
              <w:top w:w="60" w:type="dxa"/>
              <w:left w:w="100" w:type="dxa"/>
              <w:bottom w:w="60" w:type="dxa"/>
              <w:right w:w="100" w:type="dxa"/>
            </w:tcMar>
          </w:tcPr>
          <w:p>
            <w:pPr>
              <w:spacing w:after="0"/>
            </w:pPr>
            <w:r>
              <w:rPr>
                <w:sz w:val="18"/>
                <w:szCs w:val="18"/>
              </w:rPr>
              <w:t xml:space="preserve">Zuiver aanvaarden</w:t>
            </w:r>
          </w:p>
        </w:tc>
        <w:tc>
          <w:tcPr>
            <w:tcW w:w="4400" w:type="dxa"/>
            <w:shd w:val="clear" w:color="auto" w:fill="FFFFFF"/>
            <w:tcMar>
              <w:top w:w="60" w:type="dxa"/>
              <w:left w:w="100" w:type="dxa"/>
              <w:bottom w:w="60" w:type="dxa"/>
              <w:right w:w="100" w:type="dxa"/>
            </w:tcMar>
          </w:tcPr>
          <w:p>
            <w:pPr>
              <w:spacing w:after="0"/>
            </w:pPr>
            <w:r>
              <w:rPr>
                <w:sz w:val="18"/>
                <w:szCs w:val="18"/>
              </w:rPr>
              <w:t xml:space="preserve">U krijgt de bezittingen én bent persoonlijk aansprakelijk voor alle schulden, ook met uw eigen vermogen.</w:t>
            </w:r>
          </w:p>
        </w:tc>
        <w:tc>
          <w:tcPr>
            <w:tcW w:w="3126" w:type="dxa"/>
            <w:shd w:val="clear" w:color="auto" w:fill="FFFFFF"/>
            <w:tcMar>
              <w:top w:w="60" w:type="dxa"/>
              <w:left w:w="100" w:type="dxa"/>
              <w:bottom w:w="60" w:type="dxa"/>
              <w:right w:w="100" w:type="dxa"/>
            </w:tcMar>
          </w:tcPr>
          <w:p>
            <w:pPr>
              <w:spacing w:after="0"/>
            </w:pPr>
            <w:r>
              <w:rPr>
                <w:sz w:val="18"/>
                <w:szCs w:val="18"/>
              </w:rPr>
              <w:t xml:space="preserve">Alleen als u zeker weet dat de nalatenschap positief is.</w:t>
            </w:r>
          </w:p>
        </w:tc>
      </w:tr>
      <w:tr>
        <w:tc>
          <w:tcPr>
            <w:tcW w:w="1900" w:type="dxa"/>
            <w:shd w:val="clear" w:color="auto" w:fill="F2F5F8"/>
            <w:tcMar>
              <w:top w:w="60" w:type="dxa"/>
              <w:left w:w="100" w:type="dxa"/>
              <w:bottom w:w="60" w:type="dxa"/>
              <w:right w:w="100" w:type="dxa"/>
            </w:tcMar>
          </w:tcPr>
          <w:p>
            <w:pPr>
              <w:spacing w:after="0"/>
            </w:pPr>
            <w:r>
              <w:rPr>
                <w:sz w:val="18"/>
                <w:szCs w:val="18"/>
              </w:rPr>
              <w:t xml:space="preserve">Beneficiair aanvaarden</w:t>
            </w:r>
          </w:p>
        </w:tc>
        <w:tc>
          <w:tcPr>
            <w:tcW w:w="4400" w:type="dxa"/>
            <w:shd w:val="clear" w:color="auto" w:fill="F2F5F8"/>
            <w:tcMar>
              <w:top w:w="60" w:type="dxa"/>
              <w:left w:w="100" w:type="dxa"/>
              <w:bottom w:w="60" w:type="dxa"/>
              <w:right w:w="100" w:type="dxa"/>
            </w:tcMar>
          </w:tcPr>
          <w:p>
            <w:pPr>
              <w:spacing w:after="0"/>
            </w:pPr>
            <w:r>
              <w:rPr>
                <w:sz w:val="18"/>
                <w:szCs w:val="18"/>
              </w:rPr>
              <w:t xml:space="preserve">U krijgt wat overblijft na aftrek van de schulden. U bent niet aansprakelijk met eigen geld.</w:t>
            </w:r>
          </w:p>
        </w:tc>
        <w:tc>
          <w:tcPr>
            <w:tcW w:w="3126" w:type="dxa"/>
            <w:shd w:val="clear" w:color="auto" w:fill="F2F5F8"/>
            <w:tcMar>
              <w:top w:w="60" w:type="dxa"/>
              <w:left w:w="100" w:type="dxa"/>
              <w:bottom w:w="60" w:type="dxa"/>
              <w:right w:w="100" w:type="dxa"/>
            </w:tcMar>
          </w:tcPr>
          <w:p>
            <w:pPr>
              <w:spacing w:after="0"/>
            </w:pPr>
            <w:r>
              <w:rPr>
                <w:sz w:val="18"/>
                <w:szCs w:val="18"/>
              </w:rPr>
              <w:t xml:space="preserve">Bij twijfel, of als u het overzicht niet heeft. De veilige keuze.</w:t>
            </w:r>
          </w:p>
        </w:tc>
      </w:tr>
      <w:tr>
        <w:tc>
          <w:tcPr>
            <w:tcW w:w="1900" w:type="dxa"/>
            <w:shd w:val="clear" w:color="auto" w:fill="FFFFFF"/>
            <w:tcMar>
              <w:top w:w="60" w:type="dxa"/>
              <w:left w:w="100" w:type="dxa"/>
              <w:bottom w:w="60" w:type="dxa"/>
              <w:right w:w="100" w:type="dxa"/>
            </w:tcMar>
          </w:tcPr>
          <w:p>
            <w:pPr>
              <w:spacing w:after="0"/>
            </w:pPr>
            <w:r>
              <w:rPr>
                <w:sz w:val="18"/>
                <w:szCs w:val="18"/>
              </w:rPr>
              <w:t xml:space="preserve">Verwerpen</w:t>
            </w:r>
          </w:p>
        </w:tc>
        <w:tc>
          <w:tcPr>
            <w:tcW w:w="4400" w:type="dxa"/>
            <w:shd w:val="clear" w:color="auto" w:fill="FFFFFF"/>
            <w:tcMar>
              <w:top w:w="60" w:type="dxa"/>
              <w:left w:w="100" w:type="dxa"/>
              <w:bottom w:w="60" w:type="dxa"/>
              <w:right w:w="100" w:type="dxa"/>
            </w:tcMar>
          </w:tcPr>
          <w:p>
            <w:pPr>
              <w:spacing w:after="0"/>
            </w:pPr>
            <w:r>
              <w:rPr>
                <w:sz w:val="18"/>
                <w:szCs w:val="18"/>
              </w:rPr>
              <w:t xml:space="preserve">U doet volledig afstand. U krijgt niets en bent nergens voor aansprakelijk.</w:t>
            </w:r>
          </w:p>
        </w:tc>
        <w:tc>
          <w:tcPr>
            <w:tcW w:w="3126" w:type="dxa"/>
            <w:shd w:val="clear" w:color="auto" w:fill="FFFFFF"/>
            <w:tcMar>
              <w:top w:w="60" w:type="dxa"/>
              <w:left w:w="100" w:type="dxa"/>
              <w:bottom w:w="60" w:type="dxa"/>
              <w:right w:w="100" w:type="dxa"/>
            </w:tcMar>
          </w:tcPr>
          <w:p>
            <w:pPr>
              <w:spacing w:after="0"/>
            </w:pPr>
            <w:r>
              <w:rPr>
                <w:sz w:val="18"/>
                <w:szCs w:val="18"/>
              </w:rPr>
              <w:t xml:space="preserve">Als vaststaat dat er meer schulden dan bezittingen zijn.</w:t>
            </w:r>
          </w:p>
        </w:tc>
      </w:tr>
    </w:tbl>
    <w:p>
      <w:pPr>
        <w:spacing w:after="140"/>
      </w:pPr>
    </w:p>
    <w:p>
      <w:pPr>
        <w:spacing w:after="120" w:line="288" w:lineRule="auto"/>
      </w:pPr>
      <w:r>
        <w:rPr>
          <w:sz w:val="20"/>
          <w:szCs w:val="20"/>
        </w:rPr>
        <w:t xml:space="preserve">Beneficiair aanvaarden of verwerpen doet u met een verklaring bij de rechtbank. Daar zijn griffiekosten aan verbonden; het actuele tarief staat op rechtspraak.nl.</w:t>
      </w:r>
    </w:p>
    <w:tbl>
      <w:tblPr>
        <w:tblW w:w="9426" w:type="dxa"/>
        <w:tblBorders>
          <w:top w:val="nil"/>
          <w:left w:val="single" w:sz="18" w:space="0" w:color="B08D57"/>
          <w:bottom w:val="nil"/>
          <w:right w:val="nil"/>
          <w:insideH w:val="nil"/>
          <w:insideV w:val="nil"/>
        </w:tblBorders>
        <w:tblCellMar>
          <w:left w:w="0" w:type="dxa"/>
          <w:right w:w="0" w:type="dxa"/>
        </w:tblCellMar>
        <w:tblLook w:val="0000"/>
      </w:tblPr>
      <w:tblGrid>
        <w:gridCol w:w="9426"/>
      </w:tblGrid>
      <w:tr>
        <w:tc>
          <w:tcPr>
            <w:tcW w:w="9426" w:type="dxa"/>
            <w:shd w:val="clear" w:color="auto" w:fill="FBF8F3"/>
            <w:tcMar>
              <w:top w:w="200" w:type="dxa"/>
              <w:left w:w="260" w:type="dxa"/>
              <w:bottom w:w="200" w:type="dxa"/>
              <w:right w:w="260" w:type="dxa"/>
            </w:tcMar>
          </w:tcPr>
          <w:p>
            <w:pPr>
              <w:spacing w:after="60"/>
            </w:pPr>
            <w:r>
              <w:rPr>
                <w:b/>
                <w:bCs/>
                <w:color w:val="B08D57"/>
                <w:sz w:val="16"/>
                <w:szCs w:val="16"/>
              </w:rPr>
              <w:t xml:space="preserve">ONOMKEERBAAR</w:t>
            </w:r>
          </w:p>
          <w:p>
            <w:pPr>
              <w:spacing w:after="0"/>
            </w:pPr>
            <w:r>
              <w:rPr>
                <w:color w:val="1F3A5F"/>
                <w:sz w:val="19"/>
                <w:szCs w:val="19"/>
              </w:rPr>
              <w:t xml:space="preserve">U kunt de erfenis ook per ongeluk aanvaarden. Neemt u een klein voorwerp mee, betaalt u een rekening van de overledene uit de nalatenschap, of ruimt u de woning leeg? Dan heeft u stilzwijgend zuiver aanvaard en bent u aansprakelijk voor de schulden. Doe niets met de bezittingen zolang u twijfelt.</w:t>
            </w:r>
          </w:p>
        </w:tc>
      </w:tr>
    </w:tbl>
    <w:p>
      <w:pPr>
        <w:spacing w:after="200"/>
      </w:pP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3</w:t>
            </w:r>
          </w:p>
        </w:tc>
        <w:tc>
          <w:tcPr>
            <w:tcW w:w="8906" w:type="dxa"/>
            <w:tcMar>
              <w:top w:w="60" w:type="dxa"/>
              <w:left w:w="200" w:type="dxa"/>
              <w:bottom w:w="60" w:type="dxa"/>
              <w:right w:w="0" w:type="dxa"/>
            </w:tcMar>
            <w:vAlign w:val="center"/>
          </w:tcPr>
          <w:p>
            <w:pPr>
              <w:spacing w:after="0"/>
            </w:pPr>
            <w:r>
              <w:rPr>
                <w:b/>
                <w:bCs/>
                <w:color w:val="1F3A5F"/>
                <w:sz w:val="23"/>
                <w:szCs w:val="23"/>
              </w:rPr>
              <w:t xml:space="preserve">Vraag een verklaring van erfrecht aan</w:t>
            </w:r>
          </w:p>
        </w:tc>
      </w:tr>
    </w:tbl>
    <w:p>
      <w:pPr>
        <w:spacing w:after="80"/>
      </w:pPr>
    </w:p>
    <w:p>
      <w:pPr>
        <w:spacing w:after="120" w:line="288" w:lineRule="auto"/>
      </w:pPr>
      <w:r>
        <w:rPr>
          <w:sz w:val="20"/>
          <w:szCs w:val="20"/>
        </w:rPr>
        <w:t xml:space="preserve">Deze verklaring van de notaris toont aan wie de erfgenamen zijn en wie bevoegd is te handelen. U heeft hem nodig om bij bankrekeningen te kunnen en om zaken op naam te wijzigen.</w:t>
      </w:r>
    </w:p>
    <w:p>
      <w:pPr>
        <w:spacing w:after="200" w:line="288" w:lineRule="auto"/>
      </w:pPr>
      <w:r>
        <w:rPr>
          <w:sz w:val="20"/>
          <w:szCs w:val="20"/>
        </w:rPr>
        <w:t xml:space="preserve">Bij een gezamenlijke rekening met een partner en een eenvoudige situatie is een verklaring soms niet nodig. Vraag dit na bij de bank voordat u kosten maakt.</w:t>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Instanties en contracten</w:t>
            </w:r>
          </w:p>
        </w:tc>
      </w:tr>
    </w:tbl>
    <w:p>
      <w:pPr>
        <w:spacing w:after="160"/>
      </w:pP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4</w:t>
            </w:r>
          </w:p>
        </w:tc>
        <w:tc>
          <w:tcPr>
            <w:tcW w:w="8906" w:type="dxa"/>
            <w:tcMar>
              <w:top w:w="60" w:type="dxa"/>
              <w:left w:w="200" w:type="dxa"/>
              <w:bottom w:w="60" w:type="dxa"/>
              <w:right w:w="0" w:type="dxa"/>
            </w:tcMar>
            <w:vAlign w:val="center"/>
          </w:tcPr>
          <w:p>
            <w:pPr>
              <w:spacing w:after="0"/>
            </w:pPr>
            <w:r>
              <w:rPr>
                <w:b/>
                <w:bCs/>
                <w:color w:val="1F3A5F"/>
                <w:sz w:val="23"/>
                <w:szCs w:val="23"/>
              </w:rPr>
              <w:t xml:space="preserve">Informeer wie het niet automatisch hoort</w:t>
            </w:r>
          </w:p>
        </w:tc>
      </w:tr>
    </w:tbl>
    <w:p>
      <w:pPr>
        <w:spacing w:after="80"/>
      </w:pPr>
    </w:p>
    <w:p>
      <w:pPr>
        <w:spacing w:after="80" w:line="288" w:lineRule="auto"/>
      </w:pPr>
      <w:r>
        <w:rPr>
          <w:sz w:val="20"/>
          <w:szCs w:val="20"/>
        </w:rPr>
        <w:t xml:space="preserve">De volgende partijen krijgen géén bericht van de gemeente:</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tbl>
            <w:tblPr>
              <w:tblW w:w="8826" w:type="dxa"/>
              <w:tblBorders>
                <w:top w:val="nil"/>
                <w:left w:val="nil"/>
                <w:bottom w:val="nil"/>
                <w:right w:val="nil"/>
                <w:insideH w:val="nil"/>
                <w:insideV w:val="nil"/>
              </w:tblBorders>
              <w:tblCellMar>
                <w:left w:w="0" w:type="dxa"/>
                <w:right w:w="40" w:type="dxa"/>
              </w:tblCellMar>
              <w:tblLook w:val="0000"/>
            </w:tblPr>
            <w:tblGrid>
              <w:gridCol w:w="4413"/>
              <w:gridCol w:w="4413"/>
            </w:tblGrid>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Banken en creditcards</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Zorgverzekeraar</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Inboedel en opstal</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Autoverzekering</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Aansprakelijkheid</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Hypotheek of verhuurder</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Energie en water</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Internet, telefoon, tv</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Abonnementen</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Lidmaatschappen</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Goede doelen</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Sportclubs</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Werkgever of uitkering</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Huisarts en apotheek</w:t>
                  </w:r>
                </w:p>
              </w:tc>
            </w:tr>
            <w:tr>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Digitale accounts</w:t>
                  </w:r>
                </w:p>
              </w:tc>
              <w:tc>
                <w:tcPr>
                  <w:tcW w:w="4413" w:type="dxa"/>
                  <w:shd w:val="clear" w:color="auto" w:fill="F2F5F8"/>
                  <w:tcMar>
                    <w:top w:w="40" w:type="dxa"/>
                    <w:left w:w="0" w:type="dxa"/>
                    <w:bottom w:w="40" w:type="dxa"/>
                    <w:right w:w="40" w:type="dxa"/>
                  </w:tcMar>
                </w:tcPr>
                <w:p>
                  <w:pPr>
                    <w:spacing w:after="0"/>
                  </w:pPr>
                  <w:r>
                    <w:rPr>
                      <w:rFonts w:ascii="Segoe UI Symbol" w:hAnsi="Segoe UI Symbol"/>
                      <w:color w:val="1F3A5F"/>
                      <w:sz w:val="21"/>
                      <w:szCs w:val="21"/>
                    </w:rPr>
                    <w:t xml:space="preserve">□   </w:t>
                  </w:r>
                  <w:r>
                    <w:rPr>
                      <w:sz w:val="19"/>
                      <w:szCs w:val="19"/>
                    </w:rPr>
                    <w:t xml:space="preserve">Sociale media</w:t>
                  </w:r>
                </w:p>
              </w:tc>
            </w:tr>
          </w:tbl>
        </w:tc>
      </w:tr>
    </w:tbl>
    <w:p>
      <w:pPr>
        <w:spacing w:after="200"/>
      </w:pPr>
    </w:p>
    <w:p>
      <w:pPr>
        <w:spacing w:after="120" w:line="288" w:lineRule="auto"/>
      </w:pPr>
      <w:r>
        <w:rPr>
          <w:sz w:val="20"/>
          <w:szCs w:val="20"/>
        </w:rPr>
        <w:t xml:space="preserve">Houd bij wie u wanneer heeft gebeld of geschreven. Het overzicht achterin is daarvoor bedoeld.</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5</w:t>
            </w:r>
          </w:p>
        </w:tc>
        <w:tc>
          <w:tcPr>
            <w:tcW w:w="8906" w:type="dxa"/>
            <w:tcMar>
              <w:top w:w="60" w:type="dxa"/>
              <w:left w:w="200" w:type="dxa"/>
              <w:bottom w:w="60" w:type="dxa"/>
              <w:right w:w="0" w:type="dxa"/>
            </w:tcMar>
            <w:vAlign w:val="center"/>
          </w:tcPr>
          <w:p>
            <w:pPr>
              <w:spacing w:after="0"/>
            </w:pPr>
            <w:r>
              <w:rPr>
                <w:b/>
                <w:bCs/>
                <w:color w:val="1F3A5F"/>
                <w:sz w:val="23"/>
                <w:szCs w:val="23"/>
              </w:rPr>
              <w:t xml:space="preserve">Verzilver de uitvaartpolis</w:t>
            </w:r>
          </w:p>
        </w:tc>
      </w:tr>
    </w:tbl>
    <w:p>
      <w:pPr>
        <w:spacing w:after="80"/>
      </w:pPr>
    </w:p>
    <w:p>
      <w:pPr>
        <w:spacing w:after="120" w:line="288" w:lineRule="auto"/>
      </w:pPr>
      <w:r>
        <w:rPr>
          <w:sz w:val="20"/>
          <w:szCs w:val="20"/>
        </w:rPr>
        <w:t xml:space="preserve">Meld het overlijden bij de uitvaartverzekeraar. Let op het verschil tussen een polis die in natura uitkeert — de verzekeraar levert de uitvaart — en een polis die in geld uitkeert.</w:t>
      </w:r>
    </w:p>
    <w:tbl>
      <w:tblPr>
        <w:tblW w:w="9426" w:type="dxa"/>
        <w:tblBorders>
          <w:top w:val="nil"/>
          <w:left w:val="single" w:sz="18" w:space="0" w:color="B08D57"/>
          <w:bottom w:val="nil"/>
          <w:right w:val="nil"/>
          <w:insideH w:val="nil"/>
          <w:insideV w:val="nil"/>
        </w:tblBorders>
        <w:tblCellMar>
          <w:left w:w="0" w:type="dxa"/>
          <w:right w:w="0" w:type="dxa"/>
        </w:tblCellMar>
        <w:tblLook w:val="0000"/>
      </w:tblPr>
      <w:tblGrid>
        <w:gridCol w:w="9426"/>
      </w:tblGrid>
      <w:tr>
        <w:tc>
          <w:tcPr>
            <w:tcW w:w="9426" w:type="dxa"/>
            <w:shd w:val="clear" w:color="auto" w:fill="FBF8F3"/>
            <w:tcMar>
              <w:top w:w="200" w:type="dxa"/>
              <w:left w:w="260" w:type="dxa"/>
              <w:bottom w:w="200" w:type="dxa"/>
              <w:right w:w="260" w:type="dxa"/>
            </w:tcMar>
          </w:tcPr>
          <w:p>
            <w:pPr>
              <w:spacing w:after="60"/>
            </w:pPr>
            <w:r>
              <w:rPr>
                <w:b/>
                <w:bCs/>
                <w:color w:val="B08D57"/>
                <w:sz w:val="16"/>
                <w:szCs w:val="16"/>
              </w:rPr>
              <w:t xml:space="preserve">LET OP</w:t>
            </w:r>
          </w:p>
          <w:p>
            <w:pPr>
              <w:spacing w:after="0"/>
            </w:pPr>
            <w:r>
              <w:rPr>
                <w:color w:val="1F3A5F"/>
                <w:sz w:val="19"/>
                <w:szCs w:val="19"/>
              </w:rPr>
              <w:t xml:space="preserve">Heeft u een naturapolis maar een andere ondernemer gekozen, dan heeft u vaak alsnog recht op een geldbedrag. Vraag dit expliciet na; het wordt niet altijd uit zichzelf verteld.</w:t>
            </w:r>
          </w:p>
        </w:tc>
      </w:tr>
    </w:tbl>
    <w:p>
      <w:pPr>
        <w:spacing w:after="200"/>
      </w:pP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6</w:t>
            </w:r>
          </w:p>
        </w:tc>
        <w:tc>
          <w:tcPr>
            <w:tcW w:w="8906" w:type="dxa"/>
            <w:tcMar>
              <w:top w:w="60" w:type="dxa"/>
              <w:left w:w="200" w:type="dxa"/>
              <w:bottom w:w="60" w:type="dxa"/>
              <w:right w:w="0" w:type="dxa"/>
            </w:tcMar>
            <w:vAlign w:val="center"/>
          </w:tcPr>
          <w:p>
            <w:pPr>
              <w:spacing w:after="0"/>
            </w:pPr>
            <w:r>
              <w:rPr>
                <w:b/>
                <w:bCs/>
                <w:color w:val="1F3A5F"/>
                <w:sz w:val="23"/>
                <w:szCs w:val="23"/>
              </w:rPr>
              <w:t xml:space="preserve">Neem contact op met de hypotheekverstrekker</w:t>
            </w:r>
          </w:p>
        </w:tc>
      </w:tr>
    </w:tbl>
    <w:p>
      <w:pPr>
        <w:spacing w:after="80"/>
      </w:pPr>
    </w:p>
    <w:p>
      <w:pPr>
        <w:spacing w:after="120" w:line="288" w:lineRule="auto"/>
      </w:pPr>
      <w:r>
        <w:rPr>
          <w:sz w:val="20"/>
          <w:szCs w:val="20"/>
        </w:rPr>
        <w:t xml:space="preserve">Had de overledene een koopwoning, meld het overlijden dan bij de bank. Vaak is er een overlijdensrisicoverzekering die (een deel van) de hypotheek aflost.</w:t>
      </w:r>
    </w:p>
    <w:p>
      <w:pPr>
        <w:spacing w:after="200" w:line="288" w:lineRule="auto"/>
      </w:pPr>
      <w:r>
        <w:rPr>
          <w:sz w:val="20"/>
          <w:szCs w:val="20"/>
        </w:rPr>
        <w:t xml:space="preserve">Blijft u in de woning wonen, controleer dan of de hypotheek op uw naam kan blijven staan en of oversluiten gunstig is.</w:t>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Als u de partner bent</w:t>
            </w:r>
          </w:p>
        </w:tc>
      </w:tr>
    </w:tbl>
    <w:p>
      <w:pPr>
        <w:spacing w:after="160"/>
      </w:pP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7</w:t>
            </w:r>
          </w:p>
        </w:tc>
        <w:tc>
          <w:tcPr>
            <w:tcW w:w="8906" w:type="dxa"/>
            <w:tcMar>
              <w:top w:w="60" w:type="dxa"/>
              <w:left w:w="200" w:type="dxa"/>
              <w:bottom w:w="60" w:type="dxa"/>
              <w:right w:w="0" w:type="dxa"/>
            </w:tcMar>
            <w:vAlign w:val="center"/>
          </w:tcPr>
          <w:p>
            <w:pPr>
              <w:spacing w:after="0"/>
            </w:pPr>
            <w:r>
              <w:rPr>
                <w:b/>
                <w:bCs/>
                <w:color w:val="1F3A5F"/>
                <w:sz w:val="23"/>
                <w:szCs w:val="23"/>
              </w:rPr>
              <w:t xml:space="preserve">Pensioen</w:t>
            </w:r>
          </w:p>
        </w:tc>
      </w:tr>
    </w:tbl>
    <w:p>
      <w:pPr>
        <w:spacing w:after="80"/>
      </w:pPr>
    </w:p>
    <w:p>
      <w:pPr>
        <w:spacing w:after="120" w:line="288" w:lineRule="auto"/>
      </w:pPr>
      <w:r>
        <w:rPr>
          <w:sz w:val="20"/>
          <w:szCs w:val="20"/>
        </w:rPr>
        <w:t xml:space="preserve">Het pensioenfonds krijgt bericht via het pensioenregister, maar controleer zelf of er recht is op partnerpensioen en of het is ingegaan. Had de overledene meerdere werkgevers, kijk dan op mijnpensioenoverzicht.nl of er nog andere aanspraken zijn.</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8</w:t>
            </w:r>
          </w:p>
        </w:tc>
        <w:tc>
          <w:tcPr>
            <w:tcW w:w="8906" w:type="dxa"/>
            <w:tcMar>
              <w:top w:w="60" w:type="dxa"/>
              <w:left w:w="200" w:type="dxa"/>
              <w:bottom w:w="60" w:type="dxa"/>
              <w:right w:w="0" w:type="dxa"/>
            </w:tcMar>
            <w:vAlign w:val="center"/>
          </w:tcPr>
          <w:p>
            <w:pPr>
              <w:spacing w:after="0"/>
            </w:pPr>
            <w:r>
              <w:rPr>
                <w:b/>
                <w:bCs/>
                <w:color w:val="1F3A5F"/>
                <w:sz w:val="23"/>
                <w:szCs w:val="23"/>
              </w:rPr>
              <w:t xml:space="preserve">Anw-uitkering</w:t>
            </w:r>
          </w:p>
        </w:tc>
      </w:tr>
    </w:tbl>
    <w:p>
      <w:pPr>
        <w:spacing w:after="80"/>
      </w:pPr>
    </w:p>
    <w:p>
      <w:pPr>
        <w:spacing w:after="120" w:line="288" w:lineRule="auto"/>
      </w:pPr>
      <w:r>
        <w:rPr>
          <w:sz w:val="20"/>
          <w:szCs w:val="20"/>
        </w:rPr>
        <w:t xml:space="preserve">De Sociale Verzekeringsbank keert onder voorwaarden een nabestaandenuitkering uit. Was u getrouwd of geregistreerd partner, dan neemt de SVB meestal zelf contact op. Woonde u samen zonder registratie, dan moet u zelf aanvragen.</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9</w:t>
            </w:r>
          </w:p>
        </w:tc>
        <w:tc>
          <w:tcPr>
            <w:tcW w:w="8906" w:type="dxa"/>
            <w:tcMar>
              <w:top w:w="60" w:type="dxa"/>
              <w:left w:w="200" w:type="dxa"/>
              <w:bottom w:w="60" w:type="dxa"/>
              <w:right w:w="0" w:type="dxa"/>
            </w:tcMar>
            <w:vAlign w:val="center"/>
          </w:tcPr>
          <w:p>
            <w:pPr>
              <w:spacing w:after="0"/>
            </w:pPr>
            <w:r>
              <w:rPr>
                <w:b/>
                <w:bCs/>
                <w:color w:val="1F3A5F"/>
                <w:sz w:val="23"/>
                <w:szCs w:val="23"/>
              </w:rPr>
              <w:t xml:space="preserve">Toeslagen en inkomen</w:t>
            </w:r>
          </w:p>
        </w:tc>
      </w:tr>
    </w:tbl>
    <w:p>
      <w:pPr>
        <w:spacing w:after="80"/>
      </w:pPr>
    </w:p>
    <w:p>
      <w:pPr>
        <w:spacing w:after="120" w:line="288" w:lineRule="auto"/>
      </w:pPr>
      <w:r>
        <w:rPr>
          <w:sz w:val="20"/>
          <w:szCs w:val="20"/>
        </w:rPr>
        <w:t xml:space="preserve">Uw inkomen verandert, en daarmee vaak uw recht op huurtoeslag, zorgtoeslag of kindgebonden budget. Toeslagen op naam van de overledene worden stopgezet en moeten opnieuw worden aangevraagd.</w:t>
      </w:r>
    </w:p>
    <w:p>
      <w:pPr>
        <w:spacing w:after="120" w:line="288" w:lineRule="auto"/>
      </w:pPr>
      <w:r>
        <w:rPr>
          <w:sz w:val="20"/>
          <w:szCs w:val="20"/>
        </w:rPr>
        <w:t xml:space="preserve">Geef wijzigingen door aan de Belastingdienst zodra u ze weet — dat voorkomt terugvorderingen achteraf.</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10</w:t>
            </w:r>
          </w:p>
        </w:tc>
        <w:tc>
          <w:tcPr>
            <w:tcW w:w="8906" w:type="dxa"/>
            <w:tcMar>
              <w:top w:w="60" w:type="dxa"/>
              <w:left w:w="200" w:type="dxa"/>
              <w:bottom w:w="60" w:type="dxa"/>
              <w:right w:w="0" w:type="dxa"/>
            </w:tcMar>
            <w:vAlign w:val="center"/>
          </w:tcPr>
          <w:p>
            <w:pPr>
              <w:spacing w:after="0"/>
            </w:pPr>
            <w:r>
              <w:rPr>
                <w:b/>
                <w:bCs/>
                <w:color w:val="1F3A5F"/>
                <w:sz w:val="23"/>
                <w:szCs w:val="23"/>
              </w:rPr>
              <w:t xml:space="preserve">Belastingaangifte</w:t>
            </w:r>
          </w:p>
        </w:tc>
      </w:tr>
    </w:tbl>
    <w:p>
      <w:pPr>
        <w:spacing w:after="80"/>
      </w:pPr>
    </w:p>
    <w:p>
      <w:pPr>
        <w:spacing w:after="120" w:line="288" w:lineRule="auto"/>
      </w:pPr>
      <w:r>
        <w:rPr>
          <w:sz w:val="20"/>
          <w:szCs w:val="20"/>
        </w:rPr>
        <w:t xml:space="preserve">Er moet aangifte inkomstenbelasting worden gedaan over het jaar van overlijden (het F-biljet). Daarnaast kan aangifte erfbelasting nodig zijn; de Belastingdienst stuurt hiervoor meestal vanzelf een uitnodiging.</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11</w:t>
            </w:r>
          </w:p>
        </w:tc>
        <w:tc>
          <w:tcPr>
            <w:tcW w:w="8906" w:type="dxa"/>
            <w:tcMar>
              <w:top w:w="60" w:type="dxa"/>
              <w:left w:w="200" w:type="dxa"/>
              <w:bottom w:w="60" w:type="dxa"/>
              <w:right w:w="0" w:type="dxa"/>
            </w:tcMar>
            <w:vAlign w:val="center"/>
          </w:tcPr>
          <w:p>
            <w:pPr>
              <w:spacing w:after="0"/>
            </w:pPr>
            <w:r>
              <w:rPr>
                <w:b/>
                <w:bCs/>
                <w:color w:val="1F3A5F"/>
                <w:sz w:val="23"/>
                <w:szCs w:val="23"/>
              </w:rPr>
              <w:t xml:space="preserve">Maak een nieuw overzicht van inkomsten en uitgaven</w:t>
            </w:r>
          </w:p>
        </w:tc>
      </w:tr>
    </w:tbl>
    <w:p>
      <w:pPr>
        <w:spacing w:after="80"/>
      </w:pPr>
    </w:p>
    <w:p>
      <w:pPr>
        <w:spacing w:after="200" w:line="288" w:lineRule="auto"/>
      </w:pPr>
      <w:r>
        <w:rPr>
          <w:sz w:val="20"/>
          <w:szCs w:val="20"/>
        </w:rPr>
        <w:t xml:space="preserve">Als het inkomen structureel verandert, is het verstandig het huishoudboekje opnieuw op te zetten. Het Nibud biedt hiervoor gratis hulpmiddelen.</w:t>
      </w: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Overzicht: wie is geïnformeerd?</w:t>
            </w:r>
          </w:p>
        </w:tc>
      </w:tr>
    </w:tbl>
    <w:p>
      <w:pPr>
        <w:spacing w:after="160"/>
      </w:pPr>
    </w:p>
    <w:p>
      <w:pPr>
        <w:spacing w:after="140" w:line="288" w:lineRule="auto"/>
      </w:pPr>
      <w:r>
        <w:rPr>
          <w:sz w:val="20"/>
          <w:szCs w:val="20"/>
        </w:rPr>
        <w:t xml:space="preserve">Vink af en noteer de datum. Zo weet u waar u gebleven was.</w:t>
      </w:r>
    </w:p>
    <w:tbl>
      <w:tblPr>
        <w:tblW w:w="9426" w:type="dxa"/>
        <w:tblBorders>
          <w:top w:val="nil"/>
          <w:left w:val="nil"/>
          <w:bottom w:val="single" w:sz="4" w:space="0" w:color="C9D3DE"/>
          <w:right w:val="nil"/>
          <w:insideH w:val="single" w:sz="4" w:space="0" w:color="C9D3DE"/>
          <w:insideV w:val="single" w:sz="4" w:space="0" w:color="C9D3DE"/>
        </w:tblBorders>
        <w:tblCellMar>
          <w:left w:w="10" w:type="dxa"/>
          <w:right w:w="10" w:type="dxa"/>
        </w:tblCellMar>
        <w:tblLook w:val="04A0" w:firstRow="1" w:lastRow="0" w:firstColumn="0" w:lastColumn="0" w:noHBand="0" w:noVBand="1"/>
      </w:tblPr>
      <w:tblGrid>
        <w:gridCol w:w="3400"/>
        <w:gridCol w:w="2900"/>
        <w:gridCol w:w="2500"/>
        <w:gridCol w:w="626"/>
      </w:tblGrid>
      <w:tr>
        <w:trPr>
          <w:tblHeader/>
        </w:trPr>
        <w:tc>
          <w:tcPr>
            <w:tcW w:w="3400" w:type="dxa"/>
            <w:shd w:val="clear" w:color="auto" w:fill="1F3A5F"/>
            <w:tcMar>
              <w:top w:w="60" w:type="dxa"/>
              <w:left w:w="100" w:type="dxa"/>
              <w:bottom w:w="60" w:type="dxa"/>
              <w:right w:w="100" w:type="dxa"/>
            </w:tcMar>
          </w:tcPr>
          <w:p>
            <w:pPr>
              <w:spacing w:after="0"/>
            </w:pPr>
            <w:r>
              <w:rPr>
                <w:b/>
                <w:bCs/>
                <w:color w:val="FFFFFF"/>
                <w:sz w:val="17"/>
                <w:szCs w:val="17"/>
              </w:rPr>
              <w:t xml:space="preserve">Instantie of partij</w:t>
            </w:r>
          </w:p>
        </w:tc>
        <w:tc>
          <w:tcPr>
            <w:tcW w:w="2900" w:type="dxa"/>
            <w:shd w:val="clear" w:color="auto" w:fill="1F3A5F"/>
            <w:tcMar>
              <w:top w:w="60" w:type="dxa"/>
              <w:left w:w="100" w:type="dxa"/>
              <w:bottom w:w="60" w:type="dxa"/>
              <w:right w:w="100" w:type="dxa"/>
            </w:tcMar>
          </w:tcPr>
          <w:p>
            <w:pPr>
              <w:spacing w:after="0"/>
            </w:pPr>
            <w:r>
              <w:rPr>
                <w:b/>
                <w:bCs/>
                <w:color w:val="FFFFFF"/>
                <w:sz w:val="17"/>
                <w:szCs w:val="17"/>
              </w:rPr>
              <w:t xml:space="preserve">Klantnummer of polis</w:t>
            </w:r>
          </w:p>
        </w:tc>
        <w:tc>
          <w:tcPr>
            <w:tcW w:w="2500" w:type="dxa"/>
            <w:shd w:val="clear" w:color="auto" w:fill="1F3A5F"/>
            <w:tcMar>
              <w:top w:w="60" w:type="dxa"/>
              <w:left w:w="100" w:type="dxa"/>
              <w:bottom w:w="60" w:type="dxa"/>
              <w:right w:w="100" w:type="dxa"/>
            </w:tcMar>
          </w:tcPr>
          <w:p>
            <w:pPr>
              <w:spacing w:after="0"/>
            </w:pPr>
            <w:r>
              <w:rPr>
                <w:b/>
                <w:bCs/>
                <w:color w:val="FFFFFF"/>
                <w:sz w:val="17"/>
                <w:szCs w:val="17"/>
              </w:rPr>
              <w:t xml:space="preserve">Gemeld op</w:t>
            </w:r>
          </w:p>
        </w:tc>
        <w:tc>
          <w:tcPr>
            <w:tcW w:w="626" w:type="dxa"/>
            <w:shd w:val="clear" w:color="auto" w:fill="1F3A5F"/>
            <w:tcMar>
              <w:top w:w="60" w:type="dxa"/>
              <w:left w:w="100" w:type="dxa"/>
              <w:bottom w:w="60" w:type="dxa"/>
              <w:right w:w="100" w:type="dxa"/>
            </w:tcMar>
          </w:tcPr>
          <w:p>
            <w:pPr>
              <w:spacing w:after="0"/>
            </w:pPr>
            <w:r>
              <w:rPr>
                <w:b/>
                <w:bCs/>
                <w:color w:val="FFFFFF"/>
                <w:sz w:val="17"/>
                <w:szCs w:val="17"/>
              </w:rPr>
              <w:t xml:space="preserve">✓</w:t>
            </w: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r>
        <w:trPr>
          <w:trHeight w:val="400"/>
        </w:trPr>
        <w:tc>
          <w:tcPr>
            <w:tcW w:w="3400" w:type="dxa"/>
            <w:shd w:val="clear" w:color="auto" w:fill="FFFFFF"/>
            <w:tcMar>
              <w:top w:w="60" w:type="dxa"/>
              <w:left w:w="100" w:type="dxa"/>
              <w:bottom w:w="60" w:type="dxa"/>
              <w:right w:w="100" w:type="dxa"/>
            </w:tcMar>
            <w:vAlign w:val="bottom"/>
          </w:tcPr>
          <w:p>
            <w:pPr>
              <w:spacing w:after="0"/>
            </w:pPr>
          </w:p>
        </w:tc>
        <w:tc>
          <w:tcPr>
            <w:tcW w:w="2900" w:type="dxa"/>
            <w:shd w:val="clear" w:color="auto" w:fill="FFFFFF"/>
            <w:tcMar>
              <w:top w:w="60" w:type="dxa"/>
              <w:left w:w="100" w:type="dxa"/>
              <w:bottom w:w="60" w:type="dxa"/>
              <w:right w:w="100" w:type="dxa"/>
            </w:tcMar>
            <w:vAlign w:val="bottom"/>
          </w:tcPr>
          <w:p>
            <w:pPr>
              <w:spacing w:after="0"/>
            </w:pPr>
          </w:p>
        </w:tc>
        <w:tc>
          <w:tcPr>
            <w:tcW w:w="2500" w:type="dxa"/>
            <w:shd w:val="clear" w:color="auto" w:fill="FFFFFF"/>
            <w:tcMar>
              <w:top w:w="60" w:type="dxa"/>
              <w:left w:w="100" w:type="dxa"/>
              <w:bottom w:w="60" w:type="dxa"/>
              <w:right w:w="100" w:type="dxa"/>
            </w:tcMar>
            <w:vAlign w:val="bottom"/>
          </w:tcPr>
          <w:p>
            <w:pPr>
              <w:spacing w:after="0"/>
            </w:pPr>
          </w:p>
        </w:tc>
        <w:tc>
          <w:tcPr>
            <w:tcW w:w="626" w:type="dxa"/>
            <w:shd w:val="clear" w:color="auto" w:fill="FFFFFF"/>
            <w:tcMar>
              <w:top w:w="60" w:type="dxa"/>
              <w:left w:w="100" w:type="dxa"/>
              <w:bottom w:w="60" w:type="dxa"/>
              <w:right w:w="100" w:type="dxa"/>
            </w:tcMar>
            <w:vAlign w:val="bottom"/>
          </w:tcPr>
          <w:p>
            <w:pPr>
              <w:spacing w:after="0"/>
            </w:pPr>
          </w:p>
        </w:tc>
      </w:tr>
      <w:tr>
        <w:trPr>
          <w:trHeight w:val="400"/>
        </w:trPr>
        <w:tc>
          <w:tcPr>
            <w:tcW w:w="3400" w:type="dxa"/>
            <w:shd w:val="clear" w:color="auto" w:fill="F2F5F8"/>
            <w:tcMar>
              <w:top w:w="60" w:type="dxa"/>
              <w:left w:w="100" w:type="dxa"/>
              <w:bottom w:w="60" w:type="dxa"/>
              <w:right w:w="100" w:type="dxa"/>
            </w:tcMar>
            <w:vAlign w:val="bottom"/>
          </w:tcPr>
          <w:p>
            <w:pPr>
              <w:spacing w:after="0"/>
            </w:pPr>
          </w:p>
        </w:tc>
        <w:tc>
          <w:tcPr>
            <w:tcW w:w="2900" w:type="dxa"/>
            <w:shd w:val="clear" w:color="auto" w:fill="F2F5F8"/>
            <w:tcMar>
              <w:top w:w="60" w:type="dxa"/>
              <w:left w:w="100" w:type="dxa"/>
              <w:bottom w:w="60" w:type="dxa"/>
              <w:right w:w="100" w:type="dxa"/>
            </w:tcMar>
            <w:vAlign w:val="bottom"/>
          </w:tcPr>
          <w:p>
            <w:pPr>
              <w:spacing w:after="0"/>
            </w:pPr>
          </w:p>
        </w:tc>
        <w:tc>
          <w:tcPr>
            <w:tcW w:w="2500" w:type="dxa"/>
            <w:shd w:val="clear" w:color="auto" w:fill="F2F5F8"/>
            <w:tcMar>
              <w:top w:w="60" w:type="dxa"/>
              <w:left w:w="100" w:type="dxa"/>
              <w:bottom w:w="60" w:type="dxa"/>
              <w:right w:w="100" w:type="dxa"/>
            </w:tcMar>
            <w:vAlign w:val="bottom"/>
          </w:tcPr>
          <w:p>
            <w:pPr>
              <w:spacing w:after="0"/>
            </w:pPr>
          </w:p>
        </w:tc>
        <w:tc>
          <w:tcPr>
            <w:tcW w:w="626" w:type="dxa"/>
            <w:shd w:val="clear" w:color="auto" w:fill="F2F5F8"/>
            <w:tcMar>
              <w:top w:w="60" w:type="dxa"/>
              <w:left w:w="100" w:type="dxa"/>
              <w:bottom w:w="60" w:type="dxa"/>
              <w:right w:w="100" w:type="dxa"/>
            </w:tcMar>
            <w:vAlign w:val="bottom"/>
          </w:tcPr>
          <w:p>
            <w:pPr>
              <w:spacing w:after="0"/>
            </w:pPr>
          </w:p>
        </w:tc>
      </w:tr>
    </w:tbl>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Beslissingen</w:t>
            </w:r>
          </w:p>
        </w:tc>
      </w:tr>
    </w:tbl>
    <w:p>
      <w:pPr>
        <w:spacing w:after="160"/>
      </w:pPr>
    </w:p>
    <w:p>
      <w:pPr>
        <w:spacing w:before="160" w:after="60"/>
      </w:pPr>
      <w:r>
        <w:rPr>
          <w:b/>
          <w:bCs/>
          <w:color w:val="5A6B80"/>
          <w:spacing w:val="40"/>
          <w:sz w:val="15"/>
          <w:szCs w:val="15"/>
        </w:rPr>
        <w:t>NALATENSCHAP</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Centraal Testamentenregister geraadpleegd</w:t>
            </w:r>
          </w:p>
          <w:p>
            <w:pPr>
              <w:spacing w:after="70"/>
            </w:pPr>
            <w:r>
              <w:rPr>
                <w:rFonts w:ascii="Segoe UI Symbol" w:hAnsi="Segoe UI Symbol"/>
                <w:color w:val="1F3A5F"/>
                <w:sz w:val="21"/>
                <w:szCs w:val="21"/>
              </w:rPr>
              <w:t xml:space="preserve">□   </w:t>
            </w:r>
            <w:r>
              <w:rPr>
                <w:sz w:val="19"/>
                <w:szCs w:val="19"/>
              </w:rPr>
              <w:t xml:space="preserve">Testament opgevraagd bij de notaris</w:t>
            </w:r>
          </w:p>
          <w:p>
            <w:pPr>
              <w:spacing w:after="70"/>
            </w:pPr>
            <w:r>
              <w:rPr>
                <w:rFonts w:ascii="Segoe UI Symbol" w:hAnsi="Segoe UI Symbol"/>
                <w:color w:val="1F3A5F"/>
                <w:sz w:val="21"/>
                <w:szCs w:val="21"/>
              </w:rPr>
              <w:t xml:space="preserve">□   </w:t>
            </w:r>
            <w:r>
              <w:rPr>
                <w:sz w:val="19"/>
                <w:szCs w:val="19"/>
              </w:rPr>
              <w:t xml:space="preserve">Keuze gemaakt: zuiver aanvaard</w:t>
            </w:r>
          </w:p>
          <w:p>
            <w:pPr>
              <w:spacing w:after="70"/>
            </w:pPr>
            <w:r>
              <w:rPr>
                <w:rFonts w:ascii="Segoe UI Symbol" w:hAnsi="Segoe UI Symbol"/>
                <w:color w:val="1F3A5F"/>
                <w:sz w:val="21"/>
                <w:szCs w:val="21"/>
              </w:rPr>
              <w:t xml:space="preserve">□   </w:t>
            </w:r>
            <w:r>
              <w:rPr>
                <w:sz w:val="19"/>
                <w:szCs w:val="19"/>
              </w:rPr>
              <w:t xml:space="preserve">Keuze gemaakt: beneficiair aanvaard</w:t>
            </w:r>
          </w:p>
          <w:p>
            <w:pPr>
              <w:spacing w:after="70"/>
            </w:pPr>
            <w:r>
              <w:rPr>
                <w:rFonts w:ascii="Segoe UI Symbol" w:hAnsi="Segoe UI Symbol"/>
                <w:color w:val="1F3A5F"/>
                <w:sz w:val="21"/>
                <w:szCs w:val="21"/>
              </w:rPr>
              <w:t xml:space="preserve">□   </w:t>
            </w:r>
            <w:r>
              <w:rPr>
                <w:sz w:val="19"/>
                <w:szCs w:val="19"/>
              </w:rPr>
              <w:t xml:space="preserve">Keuze gemaakt: verworpen</w:t>
            </w:r>
          </w:p>
          <w:p>
            <w:pPr>
              <w:spacing w:after="70"/>
            </w:pPr>
            <w:r>
              <w:rPr>
                <w:rFonts w:ascii="Segoe UI Symbol" w:hAnsi="Segoe UI Symbol"/>
                <w:color w:val="1F3A5F"/>
                <w:sz w:val="21"/>
                <w:szCs w:val="21"/>
              </w:rPr>
              <w:t xml:space="preserve">□   </w:t>
            </w:r>
            <w:r>
              <w:rPr>
                <w:sz w:val="19"/>
                <w:szCs w:val="19"/>
              </w:rPr>
              <w:t xml:space="preserve">Verklaring afgelegd bij de rechtbank</w:t>
            </w:r>
          </w:p>
          <w:p>
            <w:pPr>
              <w:spacing w:after="70"/>
            </w:pPr>
            <w:r>
              <w:rPr>
                <w:rFonts w:ascii="Segoe UI Symbol" w:hAnsi="Segoe UI Symbol"/>
                <w:color w:val="1F3A5F"/>
                <w:sz w:val="21"/>
                <w:szCs w:val="21"/>
              </w:rPr>
              <w:t xml:space="preserve">□   </w:t>
            </w:r>
            <w:r>
              <w:rPr>
                <w:sz w:val="19"/>
                <w:szCs w:val="19"/>
              </w:rPr>
              <w:t xml:space="preserve">Verklaring van erfrecht aangevraagd</w:t>
            </w:r>
          </w:p>
        </w:tc>
      </w:tr>
    </w:tbl>
    <w:p>
      <w:pPr>
        <w:spacing w:after="200"/>
      </w:pPr>
    </w:p>
    <w:p>
      <w:pPr>
        <w:spacing w:before="160" w:after="60"/>
      </w:pPr>
      <w:r>
        <w:rPr>
          <w:b/>
          <w:bCs/>
          <w:color w:val="5A6B80"/>
          <w:spacing w:val="40"/>
          <w:sz w:val="15"/>
          <w:szCs w:val="15"/>
        </w:rPr>
        <w:t>FINANCIEEL</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Uitvaartpolis gemeld en verzilverd</w:t>
            </w:r>
          </w:p>
          <w:p>
            <w:pPr>
              <w:spacing w:after="70"/>
            </w:pPr>
            <w:r>
              <w:rPr>
                <w:rFonts w:ascii="Segoe UI Symbol" w:hAnsi="Segoe UI Symbol"/>
                <w:color w:val="1F3A5F"/>
                <w:sz w:val="21"/>
                <w:szCs w:val="21"/>
              </w:rPr>
              <w:t xml:space="preserve">□   </w:t>
            </w:r>
            <w:r>
              <w:rPr>
                <w:sz w:val="19"/>
                <w:szCs w:val="19"/>
              </w:rPr>
              <w:t xml:space="preserve">Levensverzekering gemeld</w:t>
            </w:r>
          </w:p>
          <w:p>
            <w:pPr>
              <w:spacing w:after="70"/>
            </w:pPr>
            <w:r>
              <w:rPr>
                <w:rFonts w:ascii="Segoe UI Symbol" w:hAnsi="Segoe UI Symbol"/>
                <w:color w:val="1F3A5F"/>
                <w:sz w:val="21"/>
                <w:szCs w:val="21"/>
              </w:rPr>
              <w:t xml:space="preserve">□   </w:t>
            </w:r>
            <w:r>
              <w:rPr>
                <w:sz w:val="19"/>
                <w:szCs w:val="19"/>
              </w:rPr>
              <w:t xml:space="preserve">Hypotheekverstrekker geïnformeerd</w:t>
            </w:r>
          </w:p>
          <w:p>
            <w:pPr>
              <w:spacing w:after="70"/>
            </w:pPr>
            <w:r>
              <w:rPr>
                <w:rFonts w:ascii="Segoe UI Symbol" w:hAnsi="Segoe UI Symbol"/>
                <w:color w:val="1F3A5F"/>
                <w:sz w:val="21"/>
                <w:szCs w:val="21"/>
              </w:rPr>
              <w:t xml:space="preserve">□   </w:t>
            </w:r>
            <w:r>
              <w:rPr>
                <w:sz w:val="19"/>
                <w:szCs w:val="19"/>
              </w:rPr>
              <w:t xml:space="preserve">Overlijdensrisicoverzekering gecontroleerd</w:t>
            </w:r>
          </w:p>
          <w:p>
            <w:pPr>
              <w:spacing w:after="70"/>
            </w:pPr>
            <w:r>
              <w:rPr>
                <w:rFonts w:ascii="Segoe UI Symbol" w:hAnsi="Segoe UI Symbol"/>
                <w:color w:val="1F3A5F"/>
                <w:sz w:val="21"/>
                <w:szCs w:val="21"/>
              </w:rPr>
              <w:t xml:space="preserve">□   </w:t>
            </w:r>
            <w:r>
              <w:rPr>
                <w:sz w:val="19"/>
                <w:szCs w:val="19"/>
              </w:rPr>
              <w:t xml:space="preserve">Pensioenfonds(en) gecontroleerd</w:t>
            </w:r>
          </w:p>
          <w:p>
            <w:pPr>
              <w:spacing w:after="70"/>
            </w:pPr>
            <w:r>
              <w:rPr>
                <w:rFonts w:ascii="Segoe UI Symbol" w:hAnsi="Segoe UI Symbol"/>
                <w:color w:val="1F3A5F"/>
                <w:sz w:val="21"/>
                <w:szCs w:val="21"/>
              </w:rPr>
              <w:t xml:space="preserve">□   </w:t>
            </w:r>
            <w:r>
              <w:rPr>
                <w:sz w:val="19"/>
                <w:szCs w:val="19"/>
              </w:rPr>
              <w:t xml:space="preserve">Anw-uitkering aangevraagd of gecontroleerd</w:t>
            </w:r>
          </w:p>
          <w:p>
            <w:pPr>
              <w:spacing w:after="70"/>
            </w:pPr>
            <w:r>
              <w:rPr>
                <w:rFonts w:ascii="Segoe UI Symbol" w:hAnsi="Segoe UI Symbol"/>
                <w:color w:val="1F3A5F"/>
                <w:sz w:val="21"/>
                <w:szCs w:val="21"/>
              </w:rPr>
              <w:t xml:space="preserve">□   </w:t>
            </w:r>
            <w:r>
              <w:rPr>
                <w:sz w:val="19"/>
                <w:szCs w:val="19"/>
              </w:rPr>
              <w:t xml:space="preserve">Toeslagen opnieuw beoordeeld</w:t>
            </w:r>
          </w:p>
          <w:p>
            <w:pPr>
              <w:spacing w:after="70"/>
            </w:pPr>
            <w:r>
              <w:rPr>
                <w:rFonts w:ascii="Segoe UI Symbol" w:hAnsi="Segoe UI Symbol"/>
                <w:color w:val="1F3A5F"/>
                <w:sz w:val="21"/>
                <w:szCs w:val="21"/>
              </w:rPr>
              <w:t xml:space="preserve">□   </w:t>
            </w:r>
            <w:r>
              <w:rPr>
                <w:sz w:val="19"/>
                <w:szCs w:val="19"/>
              </w:rPr>
              <w:t xml:space="preserve">Aangifte inkomstenbelasting (F-biljet) gedaan</w:t>
            </w:r>
          </w:p>
          <w:p>
            <w:pPr>
              <w:spacing w:after="70"/>
            </w:pPr>
            <w:r>
              <w:rPr>
                <w:rFonts w:ascii="Segoe UI Symbol" w:hAnsi="Segoe UI Symbol"/>
                <w:color w:val="1F3A5F"/>
                <w:sz w:val="21"/>
                <w:szCs w:val="21"/>
              </w:rPr>
              <w:t xml:space="preserve">□   </w:t>
            </w:r>
            <w:r>
              <w:rPr>
                <w:sz w:val="19"/>
                <w:szCs w:val="19"/>
              </w:rPr>
              <w:t xml:space="preserve">Aangifte erfbelasting gedaan</w:t>
            </w:r>
          </w:p>
        </w:tc>
      </w:tr>
    </w:tbl>
    <w:p>
      <w:pPr>
        <w:spacing w:after="200"/>
      </w:pPr>
    </w:p>
    <w:p>
      <w:pPr>
        <w:spacing w:before="160" w:after="60"/>
      </w:pPr>
      <w:r>
        <w:rPr>
          <w:b/>
          <w:bCs/>
          <w:color w:val="5A6B80"/>
          <w:spacing w:val="40"/>
          <w:sz w:val="15"/>
          <w:szCs w:val="15"/>
        </w:rPr>
        <w:t>AANTEKENINGEN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06" w:type="dxa"/>
              <w:tblBorders>
                <w:top w:val="nil"/>
                <w:left w:val="nil"/>
                <w:bottom w:val="nil"/>
                <w:right w:val="nil"/>
                <w:insideH w:val="nil"/>
                <w:insideV w:val="nil"/>
              </w:tblBorders>
              <w:tblLook w:val="0000"/>
            </w:tblPr>
            <w:tblGrid>
              <w:gridCol w:w="8906"/>
            </w:tblGrid>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pBdr>
          <w:top w:val="single" w:sz="4" w:space="8" w:color="C9D3DE"/>
        </w:pBdr>
        <w:spacing w:before="360" w:after="0" w:line="264" w:lineRule="auto"/>
      </w:pPr>
      <w:r>
        <w:rPr>
          <w:color w:val="5A6B80"/>
          <w:sz w:val="16"/>
          <w:szCs w:val="16"/>
        </w:rPr>
        <w:t xml:space="preserve">Dit document is kosteloos beschikbaar gesteld door Vergelijker Uitvaart. U kunt het vrij gebruiken, afdrukken en delen. Aan de inhoud kunnen geen rechten worden ontleend. Voor uw specifieke situatie — zeker rond de nalatenschap — raadpleegt u een notaris.</w:t>
      </w:r>
    </w:p>
    <w:sectPr w:rsidR="006F72F3">
      <w:headerReference w:type="default" r:id="rId9"/>
      <w:footerReference w:type="default" r:id="rId10"/>
      <w:pgSz w:w="11906" w:h="16838"/>
      <w:pgMar w:top="1100" w:right="1240" w:bottom="1100" w:left="12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12CE4D" w14:textId="77777777" w:rsidR="001450EF" w:rsidRDefault="001450EF">
      <w:r>
        <w:separator/>
      </w:r>
    </w:p>
  </w:endnote>
  <w:endnote w:type="continuationSeparator" w:id="0">
    <w:p w14:paraId="2A1DD78A" w14:textId="77777777" w:rsidR="001450EF" w:rsidRDefault="0014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0E35E" w14:textId="77777777" w:rsidR="006F72F3" w:rsidRDefault="00000000">
    <w:pPr>
      <w:pBdr>
        <w:top w:val="single" w:sz="4" w:space="0" w:color="C9D3DE"/>
      </w:pBdr>
      <w:spacing w:before="60"/>
      <w:jc w:val="center"/>
    </w:pPr>
    <w:proofErr w:type="gramStart"/>
    <w:r>
      <w:rPr>
        <w:color w:val="1F3A5F"/>
        <w:sz w:val="16"/>
        <w:szCs w:val="16"/>
      </w:rPr>
      <w:t>www.vergelijkeruitvaart.nl</w:t>
    </w:r>
    <w:proofErr w:type="gramEnd"/>
    <w:r>
      <w:rPr>
        <w:sz w:val="16"/>
        <w:szCs w:val="16"/>
      </w:rPr>
      <w:t xml:space="preserve">     |     Pagina </w:t>
    </w:r>
    <w:r>
      <w:rPr>
        <w:sz w:val="16"/>
        <w:szCs w:val="16"/>
      </w:rPr>
      <w:fldChar w:fldCharType="begin"/>
    </w:r>
    <w:r>
      <w:rPr>
        <w:sz w:val="16"/>
        <w:szCs w:val="16"/>
      </w:rPr>
      <w:instrText>PAGE</w:instrText>
    </w:r>
    <w:r>
      <w:rPr>
        <w:sz w:val="16"/>
        <w:szCs w:val="16"/>
      </w:rPr>
      <w:fldChar w:fldCharType="separate"/>
    </w:r>
    <w:r w:rsidR="00E57060">
      <w:rPr>
        <w:noProof/>
        <w:sz w:val="16"/>
        <w:szCs w:val="16"/>
      </w:rPr>
      <w:t>1</w:t>
    </w:r>
    <w:r>
      <w:rPr>
        <w:sz w:val="16"/>
        <w:szCs w:val="16"/>
      </w:rPr>
      <w:fldChar w:fldCharType="end"/>
    </w:r>
    <w:r>
      <w:rPr>
        <w:sz w:val="16"/>
        <w:szCs w:val="16"/>
      </w:rPr>
      <w:t xml:space="preserve"> van </w:t>
    </w:r>
    <w:r>
      <w:rPr>
        <w:sz w:val="16"/>
        <w:szCs w:val="16"/>
      </w:rPr>
      <w:fldChar w:fldCharType="begin"/>
    </w:r>
    <w:r>
      <w:rPr>
        <w:sz w:val="16"/>
        <w:szCs w:val="16"/>
      </w:rPr>
      <w:instrText>NUMPAGES</w:instrText>
    </w:r>
    <w:r>
      <w:rPr>
        <w:sz w:val="16"/>
        <w:szCs w:val="16"/>
      </w:rPr>
      <w:fldChar w:fldCharType="separate"/>
    </w:r>
    <w:r w:rsidR="00E57060">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ED1550" w14:textId="77777777" w:rsidR="001450EF" w:rsidRDefault="001450EF">
      <w:r>
        <w:separator/>
      </w:r>
    </w:p>
  </w:footnote>
  <w:footnote w:type="continuationSeparator" w:id="0">
    <w:p w14:paraId="2E24672C" w14:textId="77777777" w:rsidR="001450EF" w:rsidRDefault="0014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F5C3A" w14:textId="77777777" w:rsidR="006F72F3" w:rsidRDefault="00000000">
    <w:pPr>
      <w:pBdr>
        <w:bottom w:val="single" w:sz="4" w:space="0" w:color="C9D3DE"/>
      </w:pBdr>
      <w:jc w:val="right"/>
    </w:pPr>
    <w:proofErr w:type="spellStart"/>
    <w:r>
      <w:rPr>
        <w:b/>
        <w:bCs/>
        <w:color w:val="1F3A5F"/>
        <w:sz w:val="16"/>
        <w:szCs w:val="16"/>
      </w:rPr>
      <w:t>Vergelijker</w:t>
    </w:r>
    <w:proofErr w:type="spellEnd"/>
    <w:r>
      <w:rPr>
        <w:b/>
        <w:bCs/>
        <w:color w:val="1F3A5F"/>
        <w:sz w:val="16"/>
        <w:szCs w:val="16"/>
      </w:rPr>
      <w:t xml:space="preserve"> Uitvaart B.V.  </w:t>
    </w:r>
    <w:proofErr w:type="gramStart"/>
    <w:r>
      <w:rPr>
        <w:b/>
        <w:bCs/>
        <w:color w:val="1F3A5F"/>
        <w:sz w:val="16"/>
        <w:szCs w:val="16"/>
      </w:rPr>
      <w:t xml:space="preserve">·  </w:t>
    </w:r>
    <w:r>
      <w:rPr>
        <w:sz w:val="16"/>
        <w:szCs w:val="16"/>
      </w:rPr>
      <w:t>Checklist na de uitvaart</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452C42"/>
    <w:multiLevelType w:val="hybridMultilevel"/>
    <w:tmpl w:val="4F1C6848"/>
    <w:lvl w:ilvl="0" w:tplc="EF5E9030">
      <w:start w:val="1"/>
      <w:numFmt w:val="decimal"/>
      <w:lvlText w:val="%1."/>
      <w:lvlJc w:val="left"/>
      <w:pPr>
        <w:ind w:left="460" w:hanging="300"/>
      </w:pPr>
    </w:lvl>
    <w:lvl w:ilvl="1" w:tplc="F0487AE8">
      <w:numFmt w:val="decimal"/>
      <w:lvlText w:val=""/>
      <w:lvlJc w:val="left"/>
    </w:lvl>
    <w:lvl w:ilvl="2" w:tplc="883009A2">
      <w:numFmt w:val="decimal"/>
      <w:lvlText w:val=""/>
      <w:lvlJc w:val="left"/>
    </w:lvl>
    <w:lvl w:ilvl="3" w:tplc="D9DED20E">
      <w:numFmt w:val="decimal"/>
      <w:lvlText w:val=""/>
      <w:lvlJc w:val="left"/>
    </w:lvl>
    <w:lvl w:ilvl="4" w:tplc="18863C20">
      <w:numFmt w:val="decimal"/>
      <w:lvlText w:val=""/>
      <w:lvlJc w:val="left"/>
    </w:lvl>
    <w:lvl w:ilvl="5" w:tplc="E6AACD66">
      <w:numFmt w:val="decimal"/>
      <w:lvlText w:val=""/>
      <w:lvlJc w:val="left"/>
    </w:lvl>
    <w:lvl w:ilvl="6" w:tplc="7EECB948">
      <w:numFmt w:val="decimal"/>
      <w:lvlText w:val=""/>
      <w:lvlJc w:val="left"/>
    </w:lvl>
    <w:lvl w:ilvl="7" w:tplc="ABE4F976">
      <w:numFmt w:val="decimal"/>
      <w:lvlText w:val=""/>
      <w:lvlJc w:val="left"/>
    </w:lvl>
    <w:lvl w:ilvl="8" w:tplc="EAF446CC">
      <w:numFmt w:val="decimal"/>
      <w:lvlText w:val=""/>
      <w:lvlJc w:val="left"/>
    </w:lvl>
  </w:abstractNum>
  <w:abstractNum w:abstractNumId="1" w15:restartNumberingAfterBreak="0">
    <w:nsid w:val="3B90312D"/>
    <w:multiLevelType w:val="hybridMultilevel"/>
    <w:tmpl w:val="6E1A5BF8"/>
    <w:lvl w:ilvl="0" w:tplc="C714D142">
      <w:start w:val="1"/>
      <w:numFmt w:val="bullet"/>
      <w:lvlText w:val="•"/>
      <w:lvlJc w:val="left"/>
      <w:pPr>
        <w:ind w:left="460" w:hanging="260"/>
      </w:pPr>
    </w:lvl>
    <w:lvl w:ilvl="1" w:tplc="4FB67DBA">
      <w:numFmt w:val="decimal"/>
      <w:lvlText w:val=""/>
      <w:lvlJc w:val="left"/>
    </w:lvl>
    <w:lvl w:ilvl="2" w:tplc="C332EE90">
      <w:numFmt w:val="decimal"/>
      <w:lvlText w:val=""/>
      <w:lvlJc w:val="left"/>
    </w:lvl>
    <w:lvl w:ilvl="3" w:tplc="90E642D6">
      <w:numFmt w:val="decimal"/>
      <w:lvlText w:val=""/>
      <w:lvlJc w:val="left"/>
    </w:lvl>
    <w:lvl w:ilvl="4" w:tplc="8CDA2F5E">
      <w:numFmt w:val="decimal"/>
      <w:lvlText w:val=""/>
      <w:lvlJc w:val="left"/>
    </w:lvl>
    <w:lvl w:ilvl="5" w:tplc="90662F04">
      <w:numFmt w:val="decimal"/>
      <w:lvlText w:val=""/>
      <w:lvlJc w:val="left"/>
    </w:lvl>
    <w:lvl w:ilvl="6" w:tplc="235E4B8A">
      <w:numFmt w:val="decimal"/>
      <w:lvlText w:val=""/>
      <w:lvlJc w:val="left"/>
    </w:lvl>
    <w:lvl w:ilvl="7" w:tplc="49F0E0E4">
      <w:numFmt w:val="decimal"/>
      <w:lvlText w:val=""/>
      <w:lvlJc w:val="left"/>
    </w:lvl>
    <w:lvl w:ilvl="8" w:tplc="15FCB85E">
      <w:numFmt w:val="decimal"/>
      <w:lvlText w:val=""/>
      <w:lvlJc w:val="left"/>
    </w:lvl>
  </w:abstractNum>
  <w:abstractNum w:abstractNumId="2" w15:restartNumberingAfterBreak="0">
    <w:nsid w:val="584D3AD0"/>
    <w:multiLevelType w:val="hybridMultilevel"/>
    <w:tmpl w:val="FE90A4B0"/>
    <w:lvl w:ilvl="0" w:tplc="657824C2">
      <w:start w:val="1"/>
      <w:numFmt w:val="bullet"/>
      <w:lvlText w:val="●"/>
      <w:lvlJc w:val="left"/>
      <w:pPr>
        <w:ind w:left="720" w:hanging="360"/>
      </w:pPr>
    </w:lvl>
    <w:lvl w:ilvl="1" w:tplc="6E40EF5E">
      <w:start w:val="1"/>
      <w:numFmt w:val="bullet"/>
      <w:lvlText w:val="○"/>
      <w:lvlJc w:val="left"/>
      <w:pPr>
        <w:ind w:left="1440" w:hanging="360"/>
      </w:pPr>
    </w:lvl>
    <w:lvl w:ilvl="2" w:tplc="B2A2804E">
      <w:start w:val="1"/>
      <w:numFmt w:val="bullet"/>
      <w:lvlText w:val="■"/>
      <w:lvlJc w:val="left"/>
      <w:pPr>
        <w:ind w:left="2160" w:hanging="360"/>
      </w:pPr>
    </w:lvl>
    <w:lvl w:ilvl="3" w:tplc="AF6C6C5E">
      <w:start w:val="1"/>
      <w:numFmt w:val="bullet"/>
      <w:lvlText w:val="●"/>
      <w:lvlJc w:val="left"/>
      <w:pPr>
        <w:ind w:left="2880" w:hanging="360"/>
      </w:pPr>
    </w:lvl>
    <w:lvl w:ilvl="4" w:tplc="DEE23B34">
      <w:start w:val="1"/>
      <w:numFmt w:val="bullet"/>
      <w:lvlText w:val="○"/>
      <w:lvlJc w:val="left"/>
      <w:pPr>
        <w:ind w:left="3600" w:hanging="360"/>
      </w:pPr>
    </w:lvl>
    <w:lvl w:ilvl="5" w:tplc="8500C116">
      <w:start w:val="1"/>
      <w:numFmt w:val="bullet"/>
      <w:lvlText w:val="■"/>
      <w:lvlJc w:val="left"/>
      <w:pPr>
        <w:ind w:left="4320" w:hanging="360"/>
      </w:pPr>
    </w:lvl>
    <w:lvl w:ilvl="6" w:tplc="E0D601BA">
      <w:start w:val="1"/>
      <w:numFmt w:val="bullet"/>
      <w:lvlText w:val="●"/>
      <w:lvlJc w:val="left"/>
      <w:pPr>
        <w:ind w:left="5040" w:hanging="360"/>
      </w:pPr>
    </w:lvl>
    <w:lvl w:ilvl="7" w:tplc="B3228C0A">
      <w:start w:val="1"/>
      <w:numFmt w:val="bullet"/>
      <w:lvlText w:val="●"/>
      <w:lvlJc w:val="left"/>
      <w:pPr>
        <w:ind w:left="5760" w:hanging="360"/>
      </w:pPr>
    </w:lvl>
    <w:lvl w:ilvl="8" w:tplc="00C85584">
      <w:start w:val="1"/>
      <w:numFmt w:val="bullet"/>
      <w:lvlText w:val="●"/>
      <w:lvlJc w:val="left"/>
      <w:pPr>
        <w:ind w:left="6480" w:hanging="360"/>
      </w:pPr>
    </w:lvl>
  </w:abstractNum>
  <w:abstractNum w:abstractNumId="3" w15:restartNumberingAfterBreak="0">
    <w:nsid w:val="5D91537E"/>
    <w:multiLevelType w:val="hybridMultilevel"/>
    <w:tmpl w:val="89CE13DA"/>
    <w:lvl w:ilvl="0" w:tplc="CE8EDD4A">
      <w:start w:val="1"/>
      <w:numFmt w:val="decimal"/>
      <w:lvlText w:val="%1."/>
      <w:lvlJc w:val="left"/>
      <w:pPr>
        <w:ind w:left="460" w:hanging="300"/>
      </w:pPr>
    </w:lvl>
    <w:lvl w:ilvl="1" w:tplc="F580CFBE">
      <w:numFmt w:val="decimal"/>
      <w:lvlText w:val=""/>
      <w:lvlJc w:val="left"/>
    </w:lvl>
    <w:lvl w:ilvl="2" w:tplc="3EB29B44">
      <w:numFmt w:val="decimal"/>
      <w:lvlText w:val=""/>
      <w:lvlJc w:val="left"/>
    </w:lvl>
    <w:lvl w:ilvl="3" w:tplc="0EAAE4F0">
      <w:numFmt w:val="decimal"/>
      <w:lvlText w:val=""/>
      <w:lvlJc w:val="left"/>
    </w:lvl>
    <w:lvl w:ilvl="4" w:tplc="5CCEC77E">
      <w:numFmt w:val="decimal"/>
      <w:lvlText w:val=""/>
      <w:lvlJc w:val="left"/>
    </w:lvl>
    <w:lvl w:ilvl="5" w:tplc="C038AAF0">
      <w:numFmt w:val="decimal"/>
      <w:lvlText w:val=""/>
      <w:lvlJc w:val="left"/>
    </w:lvl>
    <w:lvl w:ilvl="6" w:tplc="4E0822E0">
      <w:numFmt w:val="decimal"/>
      <w:lvlText w:val=""/>
      <w:lvlJc w:val="left"/>
    </w:lvl>
    <w:lvl w:ilvl="7" w:tplc="4F34E89E">
      <w:numFmt w:val="decimal"/>
      <w:lvlText w:val=""/>
      <w:lvlJc w:val="left"/>
    </w:lvl>
    <w:lvl w:ilvl="8" w:tplc="8F7C2294">
      <w:numFmt w:val="decimal"/>
      <w:lvlText w:val=""/>
      <w:lvlJc w:val="left"/>
    </w:lvl>
  </w:abstractNum>
  <w:abstractNum w:abstractNumId="4" w15:restartNumberingAfterBreak="0">
    <w:nsid w:val="6ADD60AE"/>
    <w:multiLevelType w:val="hybridMultilevel"/>
    <w:tmpl w:val="82A21AC0"/>
    <w:lvl w:ilvl="0" w:tplc="9C92289C">
      <w:start w:val="1"/>
      <w:numFmt w:val="decimal"/>
      <w:lvlText w:val="%1."/>
      <w:lvlJc w:val="left"/>
      <w:pPr>
        <w:ind w:left="460" w:hanging="300"/>
      </w:pPr>
    </w:lvl>
    <w:lvl w:ilvl="1" w:tplc="4EF8EA16">
      <w:numFmt w:val="decimal"/>
      <w:lvlText w:val=""/>
      <w:lvlJc w:val="left"/>
    </w:lvl>
    <w:lvl w:ilvl="2" w:tplc="E65031BC">
      <w:numFmt w:val="decimal"/>
      <w:lvlText w:val=""/>
      <w:lvlJc w:val="left"/>
    </w:lvl>
    <w:lvl w:ilvl="3" w:tplc="852417BC">
      <w:numFmt w:val="decimal"/>
      <w:lvlText w:val=""/>
      <w:lvlJc w:val="left"/>
    </w:lvl>
    <w:lvl w:ilvl="4" w:tplc="1098DC14">
      <w:numFmt w:val="decimal"/>
      <w:lvlText w:val=""/>
      <w:lvlJc w:val="left"/>
    </w:lvl>
    <w:lvl w:ilvl="5" w:tplc="7A1AADB8">
      <w:numFmt w:val="decimal"/>
      <w:lvlText w:val=""/>
      <w:lvlJc w:val="left"/>
    </w:lvl>
    <w:lvl w:ilvl="6" w:tplc="F39EACEA">
      <w:numFmt w:val="decimal"/>
      <w:lvlText w:val=""/>
      <w:lvlJc w:val="left"/>
    </w:lvl>
    <w:lvl w:ilvl="7" w:tplc="0FC0AFFE">
      <w:numFmt w:val="decimal"/>
      <w:lvlText w:val=""/>
      <w:lvlJc w:val="left"/>
    </w:lvl>
    <w:lvl w:ilvl="8" w:tplc="56AEB30A">
      <w:numFmt w:val="decimal"/>
      <w:lvlText w:val=""/>
      <w:lvlJc w:val="left"/>
    </w:lvl>
  </w:abstractNum>
  <w:num w:numId="1" w16cid:durableId="1769885044">
    <w:abstractNumId w:val="2"/>
    <w:lvlOverride w:ilvl="0">
      <w:startOverride w:val="1"/>
    </w:lvlOverride>
  </w:num>
  <w:num w:numId="2" w16cid:durableId="1143276833">
    <w:abstractNumId w:val="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2F3"/>
    <w:rsid w:val="001450EF"/>
    <w:rsid w:val="00631E4C"/>
    <w:rsid w:val="006F72F3"/>
    <w:rsid w:val="00AF68A0"/>
    <w:rsid w:val="00E57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7EC526"/>
  <w15:docId w15:val="{DECA2C08-B1AD-A441-855B-F166785E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444444"/>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vergelijkeruitvaart.nl" TargetMode="External"/><Relationship Id="rId3" Type="http://schemas.openxmlformats.org/officeDocument/2006/relationships/settings" Target="settings.xml"/><Relationship Id="rId7" Type="http://schemas.openxmlformats.org/officeDocument/2006/relationships/hyperlink" Target="mailto:Info@vergelijkeruitvaar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Hamad Jamshaid</cp:lastModifiedBy>
  <cp:revision>2</cp:revision>
  <dcterms:created xsi:type="dcterms:W3CDTF">2026-07-15T11:25:00Z</dcterms:created>
  <dcterms:modified xsi:type="dcterms:W3CDTF">2026-07-15T11:25:00Z</dcterms:modified>
</cp:coreProperties>
</file>